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E5A" w:rsidRPr="00E362AC" w:rsidRDefault="00056E5A" w:rsidP="00056E5A">
      <w:pPr>
        <w:pStyle w:val="BodyText"/>
        <w:tabs>
          <w:tab w:val="left" w:pos="2835"/>
        </w:tabs>
        <w:rPr>
          <w:rFonts w:ascii="Calibri" w:hAnsi="Calibri"/>
        </w:rPr>
      </w:pPr>
    </w:p>
    <w:p w:rsidR="00056E5A" w:rsidRPr="00E362AC" w:rsidRDefault="00056E5A" w:rsidP="00056E5A">
      <w:pPr>
        <w:pStyle w:val="BodyText"/>
        <w:tabs>
          <w:tab w:val="left" w:pos="2835"/>
        </w:tabs>
        <w:rPr>
          <w:rFonts w:ascii="Calibri" w:hAnsi="Calibri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521509" w:rsidRPr="00E66034" w:rsidTr="0006272C">
        <w:tc>
          <w:tcPr>
            <w:tcW w:w="4428" w:type="dxa"/>
          </w:tcPr>
          <w:p w:rsidR="00521509" w:rsidRPr="00E66034" w:rsidRDefault="00521509" w:rsidP="0052150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ENG Committee</w:t>
            </w:r>
          </w:p>
        </w:tc>
        <w:tc>
          <w:tcPr>
            <w:tcW w:w="5461" w:type="dxa"/>
          </w:tcPr>
          <w:p w:rsidR="00521509" w:rsidRPr="00521509" w:rsidRDefault="00521509" w:rsidP="0006272C">
            <w:pPr>
              <w:jc w:val="right"/>
              <w:rPr>
                <w:rFonts w:ascii="Calibri" w:hAnsi="Calibri"/>
              </w:rPr>
            </w:pPr>
            <w:r w:rsidRPr="00521509">
              <w:rPr>
                <w:rFonts w:ascii="Calibri" w:hAnsi="Calibri"/>
              </w:rPr>
              <w:t>ENG7-11.1.36</w:t>
            </w:r>
          </w:p>
        </w:tc>
      </w:tr>
      <w:tr w:rsidR="00521509" w:rsidRPr="00E66034" w:rsidTr="0006272C">
        <w:tc>
          <w:tcPr>
            <w:tcW w:w="4428" w:type="dxa"/>
          </w:tcPr>
          <w:p w:rsidR="00521509" w:rsidRPr="00E66034" w:rsidRDefault="00521509" w:rsidP="00521509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>PAP</w:t>
            </w:r>
          </w:p>
        </w:tc>
        <w:tc>
          <w:tcPr>
            <w:tcW w:w="5461" w:type="dxa"/>
          </w:tcPr>
          <w:p w:rsidR="00521509" w:rsidRPr="00521509" w:rsidRDefault="00521509" w:rsidP="00521509">
            <w:pPr>
              <w:jc w:val="right"/>
              <w:rPr>
                <w:rFonts w:ascii="Calibri" w:hAnsi="Calibri"/>
              </w:rPr>
            </w:pPr>
            <w:r w:rsidRPr="00521509">
              <w:rPr>
                <w:rFonts w:ascii="Calibri" w:hAnsi="Calibri"/>
              </w:rPr>
              <w:t>12 October 2017</w:t>
            </w:r>
          </w:p>
        </w:tc>
      </w:tr>
    </w:tbl>
    <w:p w:rsidR="00056E5A" w:rsidRPr="007A395D" w:rsidRDefault="00056E5A" w:rsidP="00056E5A">
      <w:pPr>
        <w:pStyle w:val="BodyText"/>
        <w:tabs>
          <w:tab w:val="left" w:pos="2835"/>
        </w:tabs>
        <w:rPr>
          <w:rFonts w:ascii="Calibri" w:hAnsi="Calibri"/>
        </w:rPr>
      </w:pPr>
    </w:p>
    <w:p w:rsidR="00056E5A" w:rsidRPr="00605E43" w:rsidRDefault="00056E5A" w:rsidP="00056E5A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Draft </w:t>
      </w:r>
      <w:proofErr w:type="spellStart"/>
      <w:r>
        <w:rPr>
          <w:rFonts w:ascii="Calibri" w:hAnsi="Calibri"/>
          <w:color w:val="0070C0"/>
        </w:rPr>
        <w:t>workplan</w:t>
      </w:r>
      <w:proofErr w:type="spellEnd"/>
      <w:r>
        <w:rPr>
          <w:rFonts w:ascii="Calibri" w:hAnsi="Calibri"/>
          <w:color w:val="0070C0"/>
        </w:rPr>
        <w:t xml:space="preserve"> for ENG 2018 - 2022</w:t>
      </w:r>
    </w:p>
    <w:p w:rsidR="00056E5A" w:rsidRDefault="00056E5A" w:rsidP="00056E5A">
      <w:pPr>
        <w:pStyle w:val="Heading1"/>
      </w:pPr>
      <w:r w:rsidRPr="00605E43">
        <w:t>Summary</w:t>
      </w:r>
    </w:p>
    <w:p w:rsidR="00056E5A" w:rsidRPr="00B16C16" w:rsidRDefault="00056E5A" w:rsidP="00056E5A">
      <w:pPr>
        <w:pStyle w:val="BodyText"/>
        <w:rPr>
          <w:lang w:eastAsia="de-DE"/>
        </w:rPr>
      </w:pPr>
      <w:r>
        <w:rPr>
          <w:lang w:eastAsia="de-DE"/>
        </w:rPr>
        <w:t xml:space="preserve">Below is the draft work plan for the Engineering &amp; Sustainability as drafted at </w:t>
      </w:r>
      <w:proofErr w:type="gramStart"/>
      <w:r>
        <w:rPr>
          <w:lang w:eastAsia="de-DE"/>
        </w:rPr>
        <w:t>ENG7.</w:t>
      </w:r>
      <w:proofErr w:type="gramEnd"/>
      <w:r>
        <w:rPr>
          <w:lang w:eastAsia="de-DE"/>
        </w:rPr>
        <w:t xml:space="preserve"> This is for review and comment by PAP. The Radionavigation section has yet to be drafted and awaits input from Dr Alan Grant.</w:t>
      </w:r>
    </w:p>
    <w:p w:rsidR="00056E5A" w:rsidRPr="007A395D" w:rsidRDefault="00056E5A" w:rsidP="00056E5A">
      <w:pPr>
        <w:pStyle w:val="Heading1"/>
      </w:pPr>
      <w:r w:rsidRPr="007A395D">
        <w:t>Action requested of the Committee</w:t>
      </w:r>
    </w:p>
    <w:p w:rsidR="00056E5A" w:rsidRPr="008A6D4A" w:rsidRDefault="00056E5A" w:rsidP="00056E5A">
      <w:pPr>
        <w:pStyle w:val="BodyText"/>
        <w:rPr>
          <w:lang w:eastAsia="de-DE"/>
        </w:rPr>
      </w:pPr>
      <w:r w:rsidRPr="008A6D4A">
        <w:rPr>
          <w:lang w:eastAsia="de-DE"/>
        </w:rPr>
        <w:t xml:space="preserve">The Committee is requested to consider the attached </w:t>
      </w:r>
      <w:proofErr w:type="spellStart"/>
      <w:r w:rsidRPr="008A6D4A">
        <w:rPr>
          <w:lang w:eastAsia="de-DE"/>
        </w:rPr>
        <w:t>workplan</w:t>
      </w:r>
      <w:proofErr w:type="spellEnd"/>
      <w:r w:rsidRPr="008A6D4A">
        <w:rPr>
          <w:lang w:eastAsia="de-DE"/>
        </w:rPr>
        <w:t xml:space="preserve"> and comment as appropriate.</w:t>
      </w:r>
    </w:p>
    <w:p w:rsidR="00056E5A" w:rsidRDefault="00056E5A">
      <w:pPr>
        <w:rPr>
          <w:rFonts w:eastAsiaTheme="minorHAnsi"/>
          <w:color w:val="000000" w:themeColor="text1"/>
          <w:lang w:val="en-GB"/>
        </w:rPr>
      </w:pPr>
      <w:r>
        <w:br w:type="page"/>
      </w:r>
    </w:p>
    <w:p w:rsidR="005E5DD7" w:rsidRDefault="005E5DD7" w:rsidP="00453FDE">
      <w:pPr>
        <w:pStyle w:val="Textedesaisie"/>
      </w:pPr>
    </w:p>
    <w:p w:rsidR="00DB383E" w:rsidRDefault="00DB383E" w:rsidP="00453FDE">
      <w:pPr>
        <w:pStyle w:val="Textedesaisie"/>
      </w:pPr>
      <w:r>
        <w:t>ENG Workplan for 2018 - 2022</w:t>
      </w:r>
    </w:p>
    <w:p w:rsidR="00453FDE" w:rsidRPr="00157AD7" w:rsidRDefault="00453FDE" w:rsidP="00453FDE">
      <w:pPr>
        <w:pStyle w:val="Textedesaisie"/>
        <w:rPr>
          <w:lang w:val="fr-FR"/>
        </w:rPr>
      </w:pPr>
      <w:r>
        <w:t xml:space="preserve">From </w:t>
      </w:r>
      <w:r w:rsidR="00DB383E">
        <w:t xml:space="preserve">the IALA Standards structure, </w:t>
      </w:r>
      <w:r>
        <w:t xml:space="preserve">categories for ENG </w:t>
      </w:r>
      <w:proofErr w:type="gramStart"/>
      <w:r>
        <w:t>are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2"/>
        <w:gridCol w:w="8186"/>
        <w:gridCol w:w="699"/>
        <w:gridCol w:w="2471"/>
      </w:tblGrid>
      <w:tr w:rsidR="003E6282" w:rsidTr="00DA153C">
        <w:tc>
          <w:tcPr>
            <w:tcW w:w="2592" w:type="dxa"/>
          </w:tcPr>
          <w:p w:rsidR="00DB383E" w:rsidRPr="00453FDE" w:rsidRDefault="00DB383E" w:rsidP="00453FDE">
            <w:pPr>
              <w:pStyle w:val="Textedesaisie"/>
              <w:rPr>
                <w:b/>
              </w:rPr>
            </w:pPr>
            <w:r>
              <w:rPr>
                <w:b/>
              </w:rPr>
              <w:t xml:space="preserve">Standards </w:t>
            </w:r>
          </w:p>
        </w:tc>
        <w:tc>
          <w:tcPr>
            <w:tcW w:w="8186" w:type="dxa"/>
          </w:tcPr>
          <w:p w:rsidR="00DB383E" w:rsidRPr="00DB383E" w:rsidRDefault="00DB383E" w:rsidP="00453FDE">
            <w:pPr>
              <w:tabs>
                <w:tab w:val="left" w:pos="2475"/>
              </w:tabs>
              <w:rPr>
                <w:rFonts w:ascii="Calibri" w:hAnsi="Calibri"/>
                <w:b/>
              </w:rPr>
            </w:pPr>
            <w:r w:rsidRPr="00DB383E">
              <w:rPr>
                <w:rFonts w:ascii="Calibri" w:hAnsi="Calibri"/>
                <w:b/>
              </w:rPr>
              <w:t>Work item title</w:t>
            </w:r>
          </w:p>
        </w:tc>
        <w:tc>
          <w:tcPr>
            <w:tcW w:w="699" w:type="dxa"/>
          </w:tcPr>
          <w:p w:rsidR="00DB383E" w:rsidRPr="005B3366" w:rsidRDefault="005B3366" w:rsidP="00453FDE">
            <w:pPr>
              <w:tabs>
                <w:tab w:val="left" w:pos="2475"/>
              </w:tabs>
              <w:rPr>
                <w:rFonts w:ascii="Calibri" w:hAnsi="Calibri"/>
                <w:b/>
              </w:rPr>
            </w:pPr>
            <w:r w:rsidRPr="005B3366">
              <w:rPr>
                <w:rFonts w:ascii="Calibri" w:hAnsi="Calibri"/>
                <w:b/>
              </w:rPr>
              <w:t>WG</w:t>
            </w:r>
          </w:p>
        </w:tc>
        <w:tc>
          <w:tcPr>
            <w:tcW w:w="2471" w:type="dxa"/>
          </w:tcPr>
          <w:p w:rsidR="00DB383E" w:rsidRPr="00DB383E" w:rsidRDefault="00A148F9" w:rsidP="00453FDE">
            <w:pPr>
              <w:tabs>
                <w:tab w:val="left" w:pos="2475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Comment</w:t>
            </w:r>
          </w:p>
        </w:tc>
      </w:tr>
      <w:tr w:rsidR="00C402B8" w:rsidTr="00DA153C">
        <w:tc>
          <w:tcPr>
            <w:tcW w:w="2592" w:type="dxa"/>
            <w:shd w:val="clear" w:color="auto" w:fill="FFFF00"/>
          </w:tcPr>
          <w:p w:rsidR="00453FDE" w:rsidRPr="00453FDE" w:rsidRDefault="00453FDE" w:rsidP="00453FDE">
            <w:pPr>
              <w:pStyle w:val="Textedesaisie"/>
              <w:rPr>
                <w:b/>
              </w:rPr>
            </w:pPr>
            <w:r w:rsidRPr="00453FDE">
              <w:rPr>
                <w:b/>
              </w:rPr>
              <w:t>AtoN Design and Delivery</w:t>
            </w:r>
          </w:p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8186" w:type="dxa"/>
            <w:shd w:val="clear" w:color="auto" w:fill="FFFF00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FFFF00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  <w:shd w:val="clear" w:color="auto" w:fill="FFFF00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C402B8" w:rsidTr="00DA153C">
        <w:tc>
          <w:tcPr>
            <w:tcW w:w="2592" w:type="dxa"/>
            <w:shd w:val="clear" w:color="auto" w:fill="FDE9D9" w:themeFill="accent6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Visual signalling (Vision, Colour, Conspicuity, Rhythmic characters)</w:t>
            </w:r>
          </w:p>
        </w:tc>
        <w:tc>
          <w:tcPr>
            <w:tcW w:w="8186" w:type="dxa"/>
            <w:shd w:val="clear" w:color="auto" w:fill="FDE9D9" w:themeFill="accent6" w:themeFillTint="33"/>
          </w:tcPr>
          <w:p w:rsidR="008A7E1B" w:rsidRPr="008A7E1B" w:rsidRDefault="008A7E1B" w:rsidP="008A7E1B">
            <w:pPr>
              <w:rPr>
                <w:lang w:val="fr-FR"/>
              </w:rPr>
            </w:pPr>
            <w:r w:rsidRPr="008A7E1B">
              <w:rPr>
                <w:lang w:val="fr-FR"/>
              </w:rPr>
              <w:t xml:space="preserve">Update E-111 Port </w:t>
            </w:r>
            <w:proofErr w:type="spellStart"/>
            <w:r w:rsidRPr="008A7E1B">
              <w:rPr>
                <w:lang w:val="fr-FR"/>
              </w:rPr>
              <w:t>Traffic</w:t>
            </w:r>
            <w:proofErr w:type="spellEnd"/>
            <w:r w:rsidRPr="008A7E1B">
              <w:rPr>
                <w:lang w:val="fr-FR"/>
              </w:rPr>
              <w:t xml:space="preserve"> </w:t>
            </w:r>
            <w:proofErr w:type="spellStart"/>
            <w:r w:rsidRPr="008A7E1B">
              <w:rPr>
                <w:lang w:val="fr-FR"/>
              </w:rPr>
              <w:t>Signals</w:t>
            </w:r>
            <w:proofErr w:type="spellEnd"/>
            <w:r w:rsidRPr="008A7E1B">
              <w:rPr>
                <w:lang w:val="fr-FR"/>
              </w:rPr>
              <w:t>.</w:t>
            </w:r>
          </w:p>
          <w:p w:rsidR="00453FDE" w:rsidRDefault="00453FDE" w:rsidP="008A7E1B">
            <w:pPr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FDE9D9" w:themeFill="accent6" w:themeFillTint="33"/>
          </w:tcPr>
          <w:p w:rsidR="00453FD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8A7E1B" w:rsidTr="00DA153C">
        <w:tc>
          <w:tcPr>
            <w:tcW w:w="2592" w:type="dxa"/>
            <w:shd w:val="clear" w:color="auto" w:fill="FDE9D9" w:themeFill="accent6" w:themeFillTint="33"/>
          </w:tcPr>
          <w:p w:rsidR="008A7E1B" w:rsidRDefault="008A7E1B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8A7E1B" w:rsidRPr="00B25658" w:rsidRDefault="00B25658" w:rsidP="008A7E1B">
            <w:pPr>
              <w:rPr>
                <w:lang w:val="en-AU"/>
              </w:rPr>
            </w:pPr>
            <w:r>
              <w:rPr>
                <w:lang w:val="en-AU"/>
              </w:rPr>
              <w:t>Develop</w:t>
            </w:r>
            <w:r w:rsidR="008A7E1B" w:rsidRPr="008A7E1B">
              <w:rPr>
                <w:lang w:val="en-AU"/>
              </w:rPr>
              <w:t xml:space="preserve"> E-112 Leading Lights </w:t>
            </w:r>
            <w:r w:rsidR="00FD4B63">
              <w:rPr>
                <w:lang w:val="en-AU"/>
              </w:rPr>
              <w:t xml:space="preserve">and 1023 Leading Lines </w:t>
            </w:r>
            <w:r w:rsidR="008A7E1B" w:rsidRPr="008A7E1B">
              <w:rPr>
                <w:lang w:val="en-AU"/>
              </w:rPr>
              <w:t>into a Guideline.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8A7E1B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297C1E" w:rsidTr="00DA153C">
        <w:tc>
          <w:tcPr>
            <w:tcW w:w="2592" w:type="dxa"/>
            <w:shd w:val="clear" w:color="auto" w:fill="FDE9D9" w:themeFill="accent6" w:themeFillTint="33"/>
          </w:tcPr>
          <w:p w:rsidR="00297C1E" w:rsidRDefault="00297C1E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297C1E" w:rsidRPr="008A7E1B" w:rsidRDefault="00D646E5" w:rsidP="00B25658">
            <w:pPr>
              <w:rPr>
                <w:lang w:val="en-AU"/>
              </w:rPr>
            </w:pPr>
            <w:r>
              <w:rPr>
                <w:lang w:val="en-AU"/>
              </w:rPr>
              <w:t>Revise</w:t>
            </w:r>
            <w:r w:rsidR="00B25658">
              <w:rPr>
                <w:lang w:val="en-AU"/>
              </w:rPr>
              <w:t xml:space="preserve"> </w:t>
            </w:r>
            <w:r w:rsidR="00B25658" w:rsidRPr="00B25658">
              <w:rPr>
                <w:lang w:val="en-AU"/>
              </w:rPr>
              <w:t>Guideline 1041 on sector lights.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297C1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B25658" w:rsidTr="00DA153C">
        <w:tc>
          <w:tcPr>
            <w:tcW w:w="2592" w:type="dxa"/>
            <w:shd w:val="clear" w:color="auto" w:fill="FDE9D9" w:themeFill="accent6" w:themeFillTint="33"/>
          </w:tcPr>
          <w:p w:rsidR="00B25658" w:rsidRDefault="00B25658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B25658" w:rsidRDefault="00B25658" w:rsidP="00B25658">
            <w:pPr>
              <w:rPr>
                <w:lang w:val="en-AU"/>
              </w:rPr>
            </w:pPr>
            <w:r>
              <w:rPr>
                <w:lang w:val="en-AU"/>
              </w:rPr>
              <w:t xml:space="preserve">Complete </w:t>
            </w:r>
            <w:r w:rsidRPr="00B25658">
              <w:rPr>
                <w:lang w:val="en-AU"/>
              </w:rPr>
              <w:t xml:space="preserve">Guideline 1061 Illumination of structures. 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B25658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B25658" w:rsidRDefault="00B25658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C5BB0" w:rsidTr="00DA153C">
        <w:tc>
          <w:tcPr>
            <w:tcW w:w="2592" w:type="dxa"/>
            <w:shd w:val="clear" w:color="auto" w:fill="FDE9D9" w:themeFill="accent6" w:themeFillTint="33"/>
          </w:tcPr>
          <w:p w:rsidR="003C5BB0" w:rsidRDefault="003C5BB0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3C5BB0" w:rsidRDefault="003C5BB0" w:rsidP="00B25658">
            <w:pPr>
              <w:rPr>
                <w:lang w:val="en-AU"/>
              </w:rPr>
            </w:pPr>
            <w:r>
              <w:rPr>
                <w:lang w:val="en-AU"/>
              </w:rPr>
              <w:t>Review &amp; update guideline 1043 on Light sources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3C5BB0" w:rsidRDefault="003C5BB0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3C5BB0" w:rsidRDefault="003C5BB0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5E5DD7" w:rsidTr="00DA153C">
        <w:tc>
          <w:tcPr>
            <w:tcW w:w="2592" w:type="dxa"/>
            <w:shd w:val="clear" w:color="auto" w:fill="FDE9D9" w:themeFill="accent6" w:themeFillTint="33"/>
          </w:tcPr>
          <w:p w:rsidR="005E5DD7" w:rsidRDefault="005E5DD7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5E5DD7" w:rsidRDefault="005E5DD7" w:rsidP="00B25658">
            <w:pPr>
              <w:rPr>
                <w:lang w:val="en-AU"/>
              </w:rPr>
            </w:pPr>
            <w:r>
              <w:rPr>
                <w:lang w:val="en-AU"/>
              </w:rPr>
              <w:t>Develop guideline for E-106 Retroreflective materials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5E5DD7" w:rsidRDefault="005E5DD7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  <w:shd w:val="clear" w:color="auto" w:fill="FDE9D9" w:themeFill="accent6" w:themeFillTint="33"/>
          </w:tcPr>
          <w:p w:rsidR="005E5DD7" w:rsidRDefault="005E5DD7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C402B8" w:rsidTr="00DA153C">
        <w:tc>
          <w:tcPr>
            <w:tcW w:w="2592" w:type="dxa"/>
            <w:shd w:val="clear" w:color="auto" w:fill="DAEEF3" w:themeFill="accent5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Range and performance (visual and audible)</w:t>
            </w:r>
          </w:p>
        </w:tc>
        <w:tc>
          <w:tcPr>
            <w:tcW w:w="8186" w:type="dxa"/>
            <w:shd w:val="clear" w:color="auto" w:fill="DAEEF3" w:themeFill="accent5" w:themeFillTint="33"/>
          </w:tcPr>
          <w:p w:rsidR="00453FDE" w:rsidRDefault="002D2B55" w:rsidP="002D2B55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lang w:val="en-AU"/>
              </w:rPr>
              <w:t>Develop E200-3 on measurement</w:t>
            </w:r>
            <w:r w:rsidRPr="00297C1E">
              <w:rPr>
                <w:lang w:val="en-AU"/>
              </w:rPr>
              <w:t xml:space="preserve"> </w:t>
            </w:r>
            <w:r>
              <w:rPr>
                <w:lang w:val="en-AU"/>
              </w:rPr>
              <w:t xml:space="preserve">into a </w:t>
            </w:r>
            <w:r w:rsidRPr="00297C1E">
              <w:rPr>
                <w:lang w:val="en-AU"/>
              </w:rPr>
              <w:t>Guide</w:t>
            </w:r>
            <w:r w:rsidR="00DA153C">
              <w:rPr>
                <w:lang w:val="en-AU"/>
              </w:rPr>
              <w:t>line.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453FD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DA153C" w:rsidTr="00DA153C">
        <w:tc>
          <w:tcPr>
            <w:tcW w:w="2592" w:type="dxa"/>
            <w:shd w:val="clear" w:color="auto" w:fill="DAEEF3" w:themeFill="accent5" w:themeFillTint="33"/>
          </w:tcPr>
          <w:p w:rsidR="00DA153C" w:rsidRDefault="00DA153C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DAEEF3" w:themeFill="accent5" w:themeFillTint="33"/>
          </w:tcPr>
          <w:p w:rsidR="00DA153C" w:rsidRDefault="00DA153C" w:rsidP="002D2B55">
            <w:pPr>
              <w:tabs>
                <w:tab w:val="left" w:pos="2475"/>
              </w:tabs>
              <w:rPr>
                <w:lang w:val="en-AU"/>
              </w:rPr>
            </w:pPr>
            <w:r>
              <w:rPr>
                <w:lang w:val="en-AU"/>
              </w:rPr>
              <w:t xml:space="preserve">Develop </w:t>
            </w:r>
            <w:r w:rsidRPr="002D2B55">
              <w:rPr>
                <w:lang w:val="en-AU"/>
              </w:rPr>
              <w:t xml:space="preserve">E200-5 </w:t>
            </w:r>
            <w:r w:rsidR="0092564D">
              <w:rPr>
                <w:lang w:val="en-AU"/>
              </w:rPr>
              <w:t xml:space="preserve">on Optical Performance </w:t>
            </w:r>
            <w:r>
              <w:rPr>
                <w:lang w:val="en-AU"/>
              </w:rPr>
              <w:t>in</w:t>
            </w:r>
            <w:r w:rsidRPr="002D2B55">
              <w:rPr>
                <w:lang w:val="en-AU"/>
              </w:rPr>
              <w:t>to a Guideline.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DA153C" w:rsidRDefault="00DA153C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  <w:shd w:val="clear" w:color="auto" w:fill="DAEEF3" w:themeFill="accent5" w:themeFillTint="33"/>
          </w:tcPr>
          <w:p w:rsidR="00DA153C" w:rsidRDefault="00DA153C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2D2B55" w:rsidTr="00DA153C">
        <w:tc>
          <w:tcPr>
            <w:tcW w:w="2592" w:type="dxa"/>
            <w:shd w:val="clear" w:color="auto" w:fill="DAEEF3" w:themeFill="accent5" w:themeFillTint="33"/>
          </w:tcPr>
          <w:p w:rsidR="002D2B55" w:rsidRDefault="002D2B55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DAEEF3" w:themeFill="accent5" w:themeFillTint="33"/>
          </w:tcPr>
          <w:p w:rsidR="002D2B55" w:rsidRDefault="002D2B55" w:rsidP="00B25658">
            <w:pPr>
              <w:rPr>
                <w:lang w:val="en-AU"/>
              </w:rPr>
            </w:pPr>
            <w:r>
              <w:rPr>
                <w:lang w:val="en-AU"/>
              </w:rPr>
              <w:t xml:space="preserve">Develop </w:t>
            </w:r>
            <w:r w:rsidRPr="002D2B55">
              <w:rPr>
                <w:lang w:val="en-AU"/>
              </w:rPr>
              <w:t>Guideline on effective intensity.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2D2B55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2D2B55" w:rsidRDefault="002D2B55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B25658" w:rsidTr="00DA153C">
        <w:tc>
          <w:tcPr>
            <w:tcW w:w="2592" w:type="dxa"/>
            <w:shd w:val="clear" w:color="auto" w:fill="DAEEF3" w:themeFill="accent5" w:themeFillTint="33"/>
          </w:tcPr>
          <w:p w:rsidR="00B25658" w:rsidRDefault="00B25658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DAEEF3" w:themeFill="accent5" w:themeFillTint="33"/>
          </w:tcPr>
          <w:p w:rsidR="00B25658" w:rsidRDefault="00B25658" w:rsidP="00B25658">
            <w:pPr>
              <w:rPr>
                <w:lang w:val="en-AU"/>
              </w:rPr>
            </w:pPr>
            <w:r>
              <w:rPr>
                <w:lang w:val="en-AU"/>
              </w:rPr>
              <w:t xml:space="preserve">Develop </w:t>
            </w:r>
            <w:r w:rsidRPr="00B25658">
              <w:rPr>
                <w:lang w:val="en-AU"/>
              </w:rPr>
              <w:t>Guidance on mon</w:t>
            </w:r>
            <w:r>
              <w:rPr>
                <w:lang w:val="en-AU"/>
              </w:rPr>
              <w:t>itoring of function</w:t>
            </w:r>
            <w:r w:rsidRPr="00B25658">
              <w:rPr>
                <w:lang w:val="en-AU"/>
              </w:rPr>
              <w:t xml:space="preserve"> and degradation of AtoN light sources.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B25658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B25658" w:rsidRDefault="00B25658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B25658" w:rsidTr="00DA153C">
        <w:tc>
          <w:tcPr>
            <w:tcW w:w="2592" w:type="dxa"/>
            <w:shd w:val="clear" w:color="auto" w:fill="DAEEF3" w:themeFill="accent5" w:themeFillTint="33"/>
          </w:tcPr>
          <w:p w:rsidR="00B25658" w:rsidRDefault="00B25658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DAEEF3" w:themeFill="accent5" w:themeFillTint="33"/>
          </w:tcPr>
          <w:p w:rsidR="00B25658" w:rsidRDefault="00B25658" w:rsidP="00B25658">
            <w:pPr>
              <w:rPr>
                <w:lang w:val="en-AU"/>
              </w:rPr>
            </w:pPr>
            <w:r>
              <w:rPr>
                <w:lang w:val="en-AU"/>
              </w:rPr>
              <w:t xml:space="preserve">Develop </w:t>
            </w:r>
            <w:r w:rsidRPr="00B25658">
              <w:rPr>
                <w:lang w:val="en-AU"/>
              </w:rPr>
              <w:t>Guidance on service factors.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B25658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B25658" w:rsidRDefault="00B25658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545A96" w:rsidTr="00DA153C">
        <w:tc>
          <w:tcPr>
            <w:tcW w:w="2592" w:type="dxa"/>
            <w:shd w:val="clear" w:color="auto" w:fill="DAEEF3" w:themeFill="accent5" w:themeFillTint="33"/>
          </w:tcPr>
          <w:p w:rsidR="00545A96" w:rsidRDefault="00545A96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DAEEF3" w:themeFill="accent5" w:themeFillTint="33"/>
          </w:tcPr>
          <w:p w:rsidR="00545A96" w:rsidRDefault="00545A96" w:rsidP="0092564D">
            <w:pPr>
              <w:rPr>
                <w:lang w:val="en-AU"/>
              </w:rPr>
            </w:pPr>
            <w:r>
              <w:rPr>
                <w:lang w:val="en-AU"/>
              </w:rPr>
              <w:t xml:space="preserve">Develop </w:t>
            </w:r>
            <w:r w:rsidRPr="00545A96">
              <w:rPr>
                <w:lang w:val="en-AU"/>
              </w:rPr>
              <w:t xml:space="preserve">Guidance on Colour fading of </w:t>
            </w:r>
            <w:r w:rsidR="0092564D">
              <w:rPr>
                <w:lang w:val="en-AU"/>
              </w:rPr>
              <w:t>AtoN</w:t>
            </w:r>
            <w:r w:rsidRPr="00545A96">
              <w:rPr>
                <w:lang w:val="en-AU"/>
              </w:rPr>
              <w:t xml:space="preserve"> (plastic and painted) – methods to measure and assess.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545A96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545A96" w:rsidRDefault="00545A96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C402B8" w:rsidTr="00DA153C">
        <w:tc>
          <w:tcPr>
            <w:tcW w:w="2592" w:type="dxa"/>
            <w:shd w:val="clear" w:color="auto" w:fill="DAEEF3" w:themeFill="accent5" w:themeFillTint="33"/>
          </w:tcPr>
          <w:p w:rsidR="00C402B8" w:rsidRDefault="00C402B8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DAEEF3" w:themeFill="accent5" w:themeFillTint="33"/>
          </w:tcPr>
          <w:p w:rsidR="00C402B8" w:rsidRDefault="00C402B8" w:rsidP="00C402B8">
            <w:pPr>
              <w:rPr>
                <w:lang w:val="en-AU"/>
              </w:rPr>
            </w:pPr>
            <w:r>
              <w:rPr>
                <w:lang w:val="en-AU"/>
              </w:rPr>
              <w:t xml:space="preserve">Joint ENG/ARM </w:t>
            </w:r>
            <w:r w:rsidRPr="00C402B8">
              <w:rPr>
                <w:lang w:val="en-AU"/>
              </w:rPr>
              <w:t>WORKSHOP</w:t>
            </w:r>
            <w:r>
              <w:rPr>
                <w:lang w:val="en-AU"/>
              </w:rPr>
              <w:t xml:space="preserve"> – topic to be ascertained.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C402B8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C402B8" w:rsidRDefault="00C402B8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C402B8" w:rsidTr="00DA153C">
        <w:tc>
          <w:tcPr>
            <w:tcW w:w="2592" w:type="dxa"/>
            <w:shd w:val="clear" w:color="auto" w:fill="FDE9D9" w:themeFill="accent6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Design, Implementation &amp; Maintenance</w:t>
            </w:r>
          </w:p>
        </w:tc>
        <w:tc>
          <w:tcPr>
            <w:tcW w:w="8186" w:type="dxa"/>
            <w:shd w:val="clear" w:color="auto" w:fill="FDE9D9" w:themeFill="accent6" w:themeFillTint="33"/>
          </w:tcPr>
          <w:p w:rsidR="00453FDE" w:rsidRPr="00DB383E" w:rsidRDefault="00DB383E" w:rsidP="00DA153C">
            <w:pPr>
              <w:rPr>
                <w:lang w:val="en-AU"/>
              </w:rPr>
            </w:pPr>
            <w:r>
              <w:rPr>
                <w:lang w:val="en-AU"/>
              </w:rPr>
              <w:t>Develop</w:t>
            </w:r>
            <w:proofErr w:type="gramStart"/>
            <w:r w:rsidRPr="00DB383E">
              <w:rPr>
                <w:lang w:val="en-AU"/>
              </w:rPr>
              <w:t>  guidance</w:t>
            </w:r>
            <w:proofErr w:type="gramEnd"/>
            <w:r w:rsidRPr="00DB383E">
              <w:rPr>
                <w:lang w:val="en-AU"/>
              </w:rPr>
              <w:t xml:space="preserve">  to  identify  appropriate  standards  for  AtoN  equipment  </w:t>
            </w:r>
            <w:r>
              <w:rPr>
                <w:lang w:val="en-AU"/>
              </w:rPr>
              <w:t xml:space="preserve">with extreme environmental conditions. Humidity, temperature, </w:t>
            </w:r>
            <w:r w:rsidRPr="00DB383E">
              <w:rPr>
                <w:lang w:val="en-AU"/>
              </w:rPr>
              <w:t xml:space="preserve">enclosure ratings, UV </w:t>
            </w:r>
            <w:proofErr w:type="spellStart"/>
            <w:r>
              <w:rPr>
                <w:lang w:val="en-AU"/>
              </w:rPr>
              <w:t>etc</w:t>
            </w:r>
            <w:proofErr w:type="spellEnd"/>
            <w:r>
              <w:rPr>
                <w:lang w:val="en-AU"/>
              </w:rPr>
              <w:t xml:space="preserve">)  Also including peak intensity specification </w:t>
            </w:r>
            <w:r w:rsidRPr="00DB383E">
              <w:rPr>
                <w:lang w:val="en-AU"/>
              </w:rPr>
              <w:t xml:space="preserve">for  LED  AtoN,  batteries,  optic  service  factor,  thermal  cap,  etc.  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453FD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297C1E" w:rsidTr="00DA153C">
        <w:tc>
          <w:tcPr>
            <w:tcW w:w="2592" w:type="dxa"/>
            <w:shd w:val="clear" w:color="auto" w:fill="FDE9D9" w:themeFill="accent6" w:themeFillTint="33"/>
          </w:tcPr>
          <w:p w:rsidR="00297C1E" w:rsidRDefault="00297C1E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297C1E" w:rsidRDefault="00297C1E" w:rsidP="00B25658">
            <w:pPr>
              <w:rPr>
                <w:lang w:val="en-AU"/>
              </w:rPr>
            </w:pPr>
            <w:r>
              <w:rPr>
                <w:lang w:val="en-AU"/>
              </w:rPr>
              <w:t>Complete g</w:t>
            </w:r>
            <w:r w:rsidR="00D646E5">
              <w:rPr>
                <w:lang w:val="en-AU"/>
              </w:rPr>
              <w:t>uidance on Maintenance of AtoN</w:t>
            </w:r>
            <w:r w:rsidRPr="00297C1E">
              <w:rPr>
                <w:lang w:val="en-AU"/>
              </w:rPr>
              <w:t xml:space="preserve"> structures.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297C1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7C3CA3" w:rsidTr="00DA153C">
        <w:tc>
          <w:tcPr>
            <w:tcW w:w="2592" w:type="dxa"/>
            <w:shd w:val="clear" w:color="auto" w:fill="FDE9D9" w:themeFill="accent6" w:themeFillTint="33"/>
          </w:tcPr>
          <w:p w:rsidR="007C3CA3" w:rsidRDefault="007C3CA3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7C3CA3" w:rsidRDefault="00C402B8" w:rsidP="006C2C7D">
            <w:pPr>
              <w:rPr>
                <w:lang w:val="en-AU"/>
              </w:rPr>
            </w:pPr>
            <w:r>
              <w:rPr>
                <w:lang w:val="en-AU"/>
              </w:rPr>
              <w:t xml:space="preserve">Develop </w:t>
            </w:r>
            <w:r w:rsidRPr="00C402B8">
              <w:rPr>
                <w:lang w:val="en-AU"/>
              </w:rPr>
              <w:t>Guideline on Tida</w:t>
            </w:r>
            <w:r w:rsidR="006C2C7D">
              <w:rPr>
                <w:lang w:val="en-AU"/>
              </w:rPr>
              <w:t>l flow data capture and display.</w:t>
            </w:r>
            <w:bookmarkStart w:id="0" w:name="_GoBack"/>
            <w:bookmarkEnd w:id="0"/>
          </w:p>
        </w:tc>
        <w:tc>
          <w:tcPr>
            <w:tcW w:w="699" w:type="dxa"/>
            <w:shd w:val="clear" w:color="auto" w:fill="FDE9D9" w:themeFill="accent6" w:themeFillTint="33"/>
          </w:tcPr>
          <w:p w:rsidR="007C3CA3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7C3CA3" w:rsidRDefault="007C3CA3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C402B8" w:rsidTr="00DA153C">
        <w:tc>
          <w:tcPr>
            <w:tcW w:w="2592" w:type="dxa"/>
            <w:shd w:val="clear" w:color="auto" w:fill="DAEEF3" w:themeFill="accent5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Power systems</w:t>
            </w:r>
          </w:p>
        </w:tc>
        <w:tc>
          <w:tcPr>
            <w:tcW w:w="8186" w:type="dxa"/>
            <w:shd w:val="clear" w:color="auto" w:fill="DAEEF3" w:themeFill="accent5" w:themeFillTint="33"/>
          </w:tcPr>
          <w:p w:rsidR="00453FDE" w:rsidRDefault="005B3366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Develop </w:t>
            </w:r>
            <w:r w:rsidRPr="00DB383E">
              <w:rPr>
                <w:lang w:val="en-AU"/>
              </w:rPr>
              <w:t>Guidance on what constitutes a good Marine AtoN solar panel.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453FD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7C3CA3" w:rsidTr="00DA153C">
        <w:tc>
          <w:tcPr>
            <w:tcW w:w="2592" w:type="dxa"/>
            <w:shd w:val="clear" w:color="auto" w:fill="DAEEF3" w:themeFill="accent5" w:themeFillTint="33"/>
          </w:tcPr>
          <w:p w:rsidR="007C3CA3" w:rsidRDefault="007C3CA3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DAEEF3" w:themeFill="accent5" w:themeFillTint="33"/>
          </w:tcPr>
          <w:p w:rsidR="007C3CA3" w:rsidRDefault="007C3CA3" w:rsidP="007C3CA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Deliver a </w:t>
            </w:r>
            <w:r w:rsidR="002D60C7">
              <w:rPr>
                <w:rFonts w:ascii="Calibri" w:hAnsi="Calibri"/>
              </w:rPr>
              <w:t>WORKSHOP</w:t>
            </w:r>
            <w:r>
              <w:rPr>
                <w:rFonts w:ascii="Calibri" w:hAnsi="Calibri"/>
              </w:rPr>
              <w:t xml:space="preserve"> - </w:t>
            </w:r>
            <w:r w:rsidRPr="007C3CA3">
              <w:rPr>
                <w:lang w:val="en-AU"/>
              </w:rPr>
              <w:t>IALABATT/ IALALITE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7C3CA3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&amp; 2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7C3CA3" w:rsidRDefault="007C3CA3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49054E" w:rsidTr="00DA153C">
        <w:tc>
          <w:tcPr>
            <w:tcW w:w="2592" w:type="dxa"/>
            <w:shd w:val="clear" w:color="auto" w:fill="DAEEF3" w:themeFill="accent5" w:themeFillTint="33"/>
          </w:tcPr>
          <w:p w:rsidR="0049054E" w:rsidRDefault="0049054E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DAEEF3" w:themeFill="accent5" w:themeFillTint="33"/>
          </w:tcPr>
          <w:p w:rsidR="0049054E" w:rsidRDefault="0049054E" w:rsidP="007C3CA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Monitor Battery development for use in AtoN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49054E" w:rsidRDefault="0049054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49054E" w:rsidRDefault="0049054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C402B8" w:rsidTr="00DA153C">
        <w:tc>
          <w:tcPr>
            <w:tcW w:w="2592" w:type="dxa"/>
            <w:shd w:val="clear" w:color="auto" w:fill="FDE9D9" w:themeFill="accent6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lastRenderedPageBreak/>
              <w:t>Floating AtoN (buoys, moorings, stability, etc.)</w:t>
            </w:r>
          </w:p>
        </w:tc>
        <w:tc>
          <w:tcPr>
            <w:tcW w:w="8186" w:type="dxa"/>
            <w:shd w:val="clear" w:color="auto" w:fill="FDE9D9" w:themeFill="accent6" w:themeFillTint="33"/>
          </w:tcPr>
          <w:p w:rsidR="00453FDE" w:rsidRDefault="008A7E1B" w:rsidP="008A7E1B">
            <w:pPr>
              <w:rPr>
                <w:rFonts w:ascii="Calibri" w:hAnsi="Calibri"/>
              </w:rPr>
            </w:pPr>
            <w:r>
              <w:rPr>
                <w:lang w:val="en-AU"/>
              </w:rPr>
              <w:t xml:space="preserve">Develop guidance on </w:t>
            </w:r>
            <w:r w:rsidRPr="008A7E1B">
              <w:rPr>
                <w:lang w:val="en-AU"/>
              </w:rPr>
              <w:t xml:space="preserve">Buoy Stability testing procedure for use </w:t>
            </w:r>
            <w:r>
              <w:rPr>
                <w:lang w:val="en-AU"/>
              </w:rPr>
              <w:t>afloat. New guidance or develop existing.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453FD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545A96" w:rsidTr="00DA153C">
        <w:tc>
          <w:tcPr>
            <w:tcW w:w="2592" w:type="dxa"/>
            <w:shd w:val="clear" w:color="auto" w:fill="FDE9D9" w:themeFill="accent6" w:themeFillTint="33"/>
          </w:tcPr>
          <w:p w:rsidR="00545A96" w:rsidRDefault="00545A96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545A96" w:rsidRDefault="00545A96" w:rsidP="008A7E1B">
            <w:pPr>
              <w:rPr>
                <w:lang w:val="en-AU"/>
              </w:rPr>
            </w:pPr>
            <w:r>
              <w:rPr>
                <w:lang w:val="en-AU"/>
              </w:rPr>
              <w:t xml:space="preserve">Develop new or existing guidance on </w:t>
            </w:r>
            <w:r w:rsidRPr="00545A96">
              <w:rPr>
                <w:lang w:val="en-AU"/>
              </w:rPr>
              <w:t>Radar reflection propert</w:t>
            </w:r>
            <w:r>
              <w:rPr>
                <w:lang w:val="en-AU"/>
              </w:rPr>
              <w:t>ies of plastic buoys.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545A96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545A96" w:rsidRDefault="00545A96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C402B8" w:rsidTr="00DA153C">
        <w:tc>
          <w:tcPr>
            <w:tcW w:w="2592" w:type="dxa"/>
            <w:shd w:val="clear" w:color="auto" w:fill="FDE9D9" w:themeFill="accent6" w:themeFillTint="33"/>
          </w:tcPr>
          <w:p w:rsidR="00C402B8" w:rsidRDefault="00C402B8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C402B8" w:rsidRDefault="00C402B8" w:rsidP="009461C0">
            <w:pPr>
              <w:rPr>
                <w:lang w:val="en-AU"/>
              </w:rPr>
            </w:pPr>
            <w:r>
              <w:rPr>
                <w:lang w:val="en-AU"/>
              </w:rPr>
              <w:t xml:space="preserve">Complete guideline on floating AtoN 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C402B8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C402B8" w:rsidRDefault="00C402B8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C402B8" w:rsidTr="00DA153C">
        <w:tc>
          <w:tcPr>
            <w:tcW w:w="2592" w:type="dxa"/>
            <w:shd w:val="clear" w:color="auto" w:fill="DAEEF3" w:themeFill="accent5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Environment, Sustainability &amp; Legacy</w:t>
            </w:r>
          </w:p>
        </w:tc>
        <w:tc>
          <w:tcPr>
            <w:tcW w:w="8186" w:type="dxa"/>
            <w:shd w:val="clear" w:color="auto" w:fill="DAEEF3" w:themeFill="accent5" w:themeFillTint="33"/>
          </w:tcPr>
          <w:p w:rsidR="00453FDE" w:rsidRDefault="00297C1E" w:rsidP="00E722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Develop </w:t>
            </w:r>
            <w:r w:rsidRPr="00297C1E">
              <w:rPr>
                <w:lang w:val="en-AU"/>
              </w:rPr>
              <w:t>Guidance on Modern equipment in traditional lighthouses.</w:t>
            </w:r>
            <w:r w:rsidR="00E722AB">
              <w:rPr>
                <w:lang w:val="en-AU"/>
              </w:rPr>
              <w:t xml:space="preserve"> Merge from 1043 &amp; 1048.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453FD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49054E" w:rsidTr="00DA153C">
        <w:tc>
          <w:tcPr>
            <w:tcW w:w="2592" w:type="dxa"/>
            <w:shd w:val="clear" w:color="auto" w:fill="DAEEF3" w:themeFill="accent5" w:themeFillTint="33"/>
          </w:tcPr>
          <w:p w:rsidR="0049054E" w:rsidRDefault="0049054E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DAEEF3" w:themeFill="accent5" w:themeFillTint="33"/>
          </w:tcPr>
          <w:p w:rsidR="0049054E" w:rsidRDefault="0049054E" w:rsidP="00E722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Monitor Climate Change to inform IALA of impact and potential adaptation requirements for AtoN providers.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49054E" w:rsidRDefault="0049054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49054E" w:rsidRDefault="0049054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FD4B63" w:rsidTr="00DA153C">
        <w:tc>
          <w:tcPr>
            <w:tcW w:w="2592" w:type="dxa"/>
            <w:shd w:val="clear" w:color="auto" w:fill="DAEEF3" w:themeFill="accent5" w:themeFillTint="33"/>
          </w:tcPr>
          <w:p w:rsidR="00FD4B63" w:rsidRDefault="00FD4B63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DAEEF3" w:themeFill="accent5" w:themeFillTint="33"/>
          </w:tcPr>
          <w:p w:rsidR="00FD4B63" w:rsidRDefault="00FD4B63" w:rsidP="00E722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Supervision of the Heritage Forum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FD4B63" w:rsidRDefault="00FD4B63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FD4B63" w:rsidRDefault="00FD4B63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DA153C">
        <w:tc>
          <w:tcPr>
            <w:tcW w:w="2592" w:type="dxa"/>
            <w:shd w:val="clear" w:color="auto" w:fill="FFFF00"/>
          </w:tcPr>
          <w:p w:rsidR="00453FDE" w:rsidRDefault="00DB383E" w:rsidP="00DB383E">
            <w:pPr>
              <w:pStyle w:val="Textedesaisie"/>
              <w:rPr>
                <w:rFonts w:ascii="Calibri" w:hAnsi="Calibri"/>
              </w:rPr>
            </w:pPr>
            <w:r w:rsidRPr="00DB383E">
              <w:rPr>
                <w:b/>
              </w:rPr>
              <w:t>Radionavigation Services</w:t>
            </w:r>
          </w:p>
        </w:tc>
        <w:tc>
          <w:tcPr>
            <w:tcW w:w="8186" w:type="dxa"/>
            <w:shd w:val="clear" w:color="auto" w:fill="FFFF00"/>
          </w:tcPr>
          <w:p w:rsidR="00453FDE" w:rsidRDefault="008846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 be completed with input from ENAV WG5</w:t>
            </w:r>
          </w:p>
        </w:tc>
        <w:tc>
          <w:tcPr>
            <w:tcW w:w="699" w:type="dxa"/>
            <w:shd w:val="clear" w:color="auto" w:fill="FFFF00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  <w:shd w:val="clear" w:color="auto" w:fill="FFFF00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DA153C">
        <w:tc>
          <w:tcPr>
            <w:tcW w:w="2592" w:type="dxa"/>
          </w:tcPr>
          <w:p w:rsidR="00453FD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Satellite positioning and timing</w:t>
            </w:r>
          </w:p>
        </w:tc>
        <w:tc>
          <w:tcPr>
            <w:tcW w:w="8186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DA153C">
        <w:tc>
          <w:tcPr>
            <w:tcW w:w="2592" w:type="dxa"/>
          </w:tcPr>
          <w:p w:rsidR="00453FD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 xml:space="preserve">Terrestrial positioning and timing (including eLoran, </w:t>
            </w:r>
            <w:proofErr w:type="spellStart"/>
            <w:r>
              <w:t>eChayka</w:t>
            </w:r>
            <w:proofErr w:type="spellEnd"/>
            <w:r>
              <w:t>, R-mode)</w:t>
            </w:r>
          </w:p>
        </w:tc>
        <w:tc>
          <w:tcPr>
            <w:tcW w:w="8186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DA153C">
        <w:tc>
          <w:tcPr>
            <w:tcW w:w="2592" w:type="dxa"/>
          </w:tcPr>
          <w:p w:rsidR="00453FD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proofErr w:type="spellStart"/>
            <w:r w:rsidRPr="00157AD7">
              <w:rPr>
                <w:lang w:val="fr-FR"/>
              </w:rPr>
              <w:t>Racon</w:t>
            </w:r>
            <w:proofErr w:type="spellEnd"/>
            <w:r w:rsidRPr="00157AD7">
              <w:rPr>
                <w:lang w:val="fr-FR"/>
              </w:rPr>
              <w:t xml:space="preserve"> &amp; radar </w:t>
            </w:r>
            <w:proofErr w:type="spellStart"/>
            <w:r w:rsidRPr="00157AD7">
              <w:rPr>
                <w:lang w:val="fr-FR"/>
              </w:rPr>
              <w:t>positioning</w:t>
            </w:r>
            <w:proofErr w:type="spellEnd"/>
          </w:p>
        </w:tc>
        <w:tc>
          <w:tcPr>
            <w:tcW w:w="8186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DA153C">
        <w:tc>
          <w:tcPr>
            <w:tcW w:w="2592" w:type="dxa"/>
          </w:tcPr>
          <w:p w:rsidR="00453FD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 w:rsidRPr="00157AD7">
              <w:rPr>
                <w:lang w:val="fr-FR"/>
              </w:rPr>
              <w:t>Augmentation services (</w:t>
            </w:r>
            <w:r>
              <w:rPr>
                <w:lang w:val="fr-FR"/>
              </w:rPr>
              <w:t xml:space="preserve">SBAS &amp; </w:t>
            </w:r>
            <w:r w:rsidRPr="00157AD7">
              <w:rPr>
                <w:lang w:val="fr-FR"/>
              </w:rPr>
              <w:t>DGNSS)</w:t>
            </w:r>
          </w:p>
        </w:tc>
        <w:tc>
          <w:tcPr>
            <w:tcW w:w="8186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</w:tcPr>
          <w:p w:rsidR="00453FDE" w:rsidRDefault="00453FD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3C39EB">
        <w:tc>
          <w:tcPr>
            <w:tcW w:w="2592" w:type="dxa"/>
            <w:shd w:val="clear" w:color="auto" w:fill="FFFF00"/>
          </w:tcPr>
          <w:p w:rsidR="00DB383E" w:rsidRDefault="00DB383E" w:rsidP="00DB383E">
            <w:pPr>
              <w:pStyle w:val="Textedesaisie"/>
              <w:rPr>
                <w:rFonts w:ascii="Calibri" w:hAnsi="Calibri"/>
              </w:rPr>
            </w:pPr>
            <w:r w:rsidRPr="00DB383E">
              <w:rPr>
                <w:b/>
              </w:rPr>
              <w:t>Training and Certification</w:t>
            </w:r>
          </w:p>
        </w:tc>
        <w:tc>
          <w:tcPr>
            <w:tcW w:w="8186" w:type="dxa"/>
            <w:shd w:val="clear" w:color="auto" w:fill="FFFF00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FFFF00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  <w:shd w:val="clear" w:color="auto" w:fill="FFFF00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DA153C">
        <w:tc>
          <w:tcPr>
            <w:tcW w:w="2592" w:type="dxa"/>
            <w:shd w:val="clear" w:color="auto" w:fill="FDE9D9" w:themeFill="accent6" w:themeFillTint="33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Training and assessment</w:t>
            </w:r>
          </w:p>
        </w:tc>
        <w:tc>
          <w:tcPr>
            <w:tcW w:w="8186" w:type="dxa"/>
            <w:shd w:val="clear" w:color="auto" w:fill="FDE9D9" w:themeFill="accent6" w:themeFillTint="33"/>
          </w:tcPr>
          <w:p w:rsidR="00DB383E" w:rsidRDefault="00C402B8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Development and review of WWA courses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DB383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&amp; 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DA153C">
        <w:tc>
          <w:tcPr>
            <w:tcW w:w="2592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Competency certification and revalidation</w:t>
            </w:r>
          </w:p>
        </w:tc>
        <w:tc>
          <w:tcPr>
            <w:tcW w:w="8186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DA153C">
        <w:tc>
          <w:tcPr>
            <w:tcW w:w="2592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Simulation in training</w:t>
            </w:r>
          </w:p>
        </w:tc>
        <w:tc>
          <w:tcPr>
            <w:tcW w:w="8186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DA153C">
        <w:tc>
          <w:tcPr>
            <w:tcW w:w="2592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Human factors</w:t>
            </w:r>
          </w:p>
        </w:tc>
        <w:tc>
          <w:tcPr>
            <w:tcW w:w="8186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DA153C">
        <w:tc>
          <w:tcPr>
            <w:tcW w:w="2592" w:type="dxa"/>
            <w:shd w:val="clear" w:color="auto" w:fill="DAEEF3" w:themeFill="accent5" w:themeFillTint="33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Capacity building</w:t>
            </w:r>
          </w:p>
        </w:tc>
        <w:tc>
          <w:tcPr>
            <w:tcW w:w="8186" w:type="dxa"/>
            <w:shd w:val="clear" w:color="auto" w:fill="DAEEF3" w:themeFill="accent5" w:themeFillTint="33"/>
          </w:tcPr>
          <w:p w:rsidR="00DB383E" w:rsidRDefault="005B3366" w:rsidP="005B3366">
            <w:pPr>
              <w:rPr>
                <w:rFonts w:ascii="Calibri" w:hAnsi="Calibri"/>
              </w:rPr>
            </w:pPr>
            <w:r>
              <w:rPr>
                <w:lang w:val="en-AU"/>
              </w:rPr>
              <w:t xml:space="preserve">Navguide </w:t>
            </w:r>
            <w:r w:rsidR="00C402B8">
              <w:rPr>
                <w:lang w:val="en-AU"/>
              </w:rPr>
              <w:t xml:space="preserve">updates and </w:t>
            </w:r>
            <w:r>
              <w:rPr>
                <w:lang w:val="en-AU"/>
              </w:rPr>
              <w:t>review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DB383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&amp; 2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3E6282" w:rsidTr="003C39EB">
        <w:tc>
          <w:tcPr>
            <w:tcW w:w="2592" w:type="dxa"/>
            <w:shd w:val="clear" w:color="auto" w:fill="FFFF00"/>
          </w:tcPr>
          <w:p w:rsidR="00DB383E" w:rsidRPr="00C40597" w:rsidRDefault="00C40597" w:rsidP="00453FDE">
            <w:pPr>
              <w:tabs>
                <w:tab w:val="left" w:pos="2475"/>
              </w:tabs>
              <w:rPr>
                <w:rFonts w:ascii="Calibri" w:hAnsi="Calibri"/>
                <w:b/>
              </w:rPr>
            </w:pPr>
            <w:r w:rsidRPr="00C40597">
              <w:rPr>
                <w:b/>
              </w:rPr>
              <w:t>AtoN Planning and Service Requirements</w:t>
            </w:r>
          </w:p>
        </w:tc>
        <w:tc>
          <w:tcPr>
            <w:tcW w:w="8186" w:type="dxa"/>
            <w:shd w:val="clear" w:color="auto" w:fill="FFFF00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FFFF00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  <w:shd w:val="clear" w:color="auto" w:fill="FFFF00"/>
          </w:tcPr>
          <w:p w:rsidR="00DB383E" w:rsidRDefault="00DB383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8A7E1B" w:rsidTr="00DA153C">
        <w:tc>
          <w:tcPr>
            <w:tcW w:w="2592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Obligations and regulatory compliance</w:t>
            </w:r>
          </w:p>
        </w:tc>
        <w:tc>
          <w:tcPr>
            <w:tcW w:w="8186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8A7E1B" w:rsidTr="00C40597">
        <w:tc>
          <w:tcPr>
            <w:tcW w:w="2592" w:type="dxa"/>
            <w:shd w:val="clear" w:color="auto" w:fill="FDE9D9" w:themeFill="accent6" w:themeFillTint="33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AtoN Planning (offshore signals, bridge signals, traffic signals, MBS, fairway design)</w:t>
            </w:r>
          </w:p>
        </w:tc>
        <w:tc>
          <w:tcPr>
            <w:tcW w:w="8186" w:type="dxa"/>
            <w:shd w:val="clear" w:color="auto" w:fill="FDE9D9" w:themeFill="accent6" w:themeFillTint="33"/>
          </w:tcPr>
          <w:p w:rsidR="008A7E1B" w:rsidRPr="008A7E1B" w:rsidRDefault="008A7E1B" w:rsidP="008A7E1B">
            <w:pPr>
              <w:rPr>
                <w:lang w:val="en-AU"/>
              </w:rPr>
            </w:pPr>
            <w:r w:rsidRPr="008A7E1B">
              <w:rPr>
                <w:lang w:val="en-AU"/>
              </w:rPr>
              <w:t>Develop guidance on AtoN simulation technology.</w:t>
            </w:r>
            <w:r>
              <w:rPr>
                <w:lang w:val="en-AU"/>
              </w:rPr>
              <w:t xml:space="preserve"> ARM or ENG?</w:t>
            </w:r>
          </w:p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FDE9D9" w:themeFill="accent6" w:themeFillTint="33"/>
          </w:tcPr>
          <w:p w:rsidR="008A7E1B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C40597" w:rsidTr="00C40597">
        <w:tc>
          <w:tcPr>
            <w:tcW w:w="2592" w:type="dxa"/>
            <w:shd w:val="clear" w:color="auto" w:fill="FDE9D9" w:themeFill="accent6" w:themeFillTint="33"/>
          </w:tcPr>
          <w:p w:rsidR="00C40597" w:rsidRDefault="00C40597" w:rsidP="00453FDE">
            <w:pPr>
              <w:tabs>
                <w:tab w:val="left" w:pos="2475"/>
              </w:tabs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C40597" w:rsidRPr="008A7E1B" w:rsidRDefault="00C40597" w:rsidP="008A7E1B">
            <w:pPr>
              <w:rPr>
                <w:lang w:val="en-AU"/>
              </w:rPr>
            </w:pPr>
            <w:r>
              <w:rPr>
                <w:lang w:val="en-AU"/>
              </w:rPr>
              <w:t xml:space="preserve">Develop </w:t>
            </w:r>
            <w:r w:rsidRPr="00CC6785">
              <w:rPr>
                <w:lang w:val="en-AU"/>
              </w:rPr>
              <w:t xml:space="preserve">Guidance on protection zones in light and </w:t>
            </w:r>
            <w:proofErr w:type="spellStart"/>
            <w:r w:rsidRPr="00CC6785">
              <w:rPr>
                <w:lang w:val="en-AU"/>
              </w:rPr>
              <w:t>daymark</w:t>
            </w:r>
            <w:proofErr w:type="spellEnd"/>
            <w:r w:rsidRPr="00CC6785">
              <w:rPr>
                <w:lang w:val="en-AU"/>
              </w:rPr>
              <w:t xml:space="preserve"> sectors and radar/ VTS systems to avoid obstructions due to structures, mooring ships, </w:t>
            </w:r>
            <w:proofErr w:type="spellStart"/>
            <w:r w:rsidRPr="00CC6785">
              <w:rPr>
                <w:lang w:val="en-AU"/>
              </w:rPr>
              <w:t>etc</w:t>
            </w:r>
            <w:proofErr w:type="spellEnd"/>
            <w:r>
              <w:rPr>
                <w:lang w:val="en-AU"/>
              </w:rPr>
              <w:t xml:space="preserve"> and competing lights (Joint </w:t>
            </w:r>
            <w:r w:rsidRPr="00CC6785">
              <w:rPr>
                <w:lang w:val="en-AU"/>
              </w:rPr>
              <w:t>ARM cooperation).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C40597" w:rsidRDefault="00C40597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  <w:shd w:val="clear" w:color="auto" w:fill="FDE9D9" w:themeFill="accent6" w:themeFillTint="33"/>
          </w:tcPr>
          <w:p w:rsidR="00C40597" w:rsidRDefault="00C40597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8A7E1B" w:rsidTr="00DA153C">
        <w:tc>
          <w:tcPr>
            <w:tcW w:w="2592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Levels of service objectives. (Availability and Categories)</w:t>
            </w:r>
          </w:p>
        </w:tc>
        <w:tc>
          <w:tcPr>
            <w:tcW w:w="8186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8A7E1B" w:rsidTr="00DA153C">
        <w:tc>
          <w:tcPr>
            <w:tcW w:w="2592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Risk Management</w:t>
            </w:r>
          </w:p>
        </w:tc>
        <w:tc>
          <w:tcPr>
            <w:tcW w:w="8186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8A7E1B" w:rsidTr="00DA153C">
        <w:tc>
          <w:tcPr>
            <w:tcW w:w="2592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Virtual marking</w:t>
            </w:r>
          </w:p>
        </w:tc>
        <w:tc>
          <w:tcPr>
            <w:tcW w:w="8186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8A7E1B" w:rsidTr="007B2177">
        <w:tc>
          <w:tcPr>
            <w:tcW w:w="2592" w:type="dxa"/>
            <w:shd w:val="clear" w:color="auto" w:fill="DAEEF3" w:themeFill="accent5" w:themeFillTint="33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t>Quality management</w:t>
            </w:r>
          </w:p>
        </w:tc>
        <w:tc>
          <w:tcPr>
            <w:tcW w:w="8186" w:type="dxa"/>
            <w:shd w:val="clear" w:color="auto" w:fill="DAEEF3" w:themeFill="accent5" w:themeFillTint="33"/>
          </w:tcPr>
          <w:p w:rsidR="008A7E1B" w:rsidRDefault="00545A96" w:rsidP="007B2177">
            <w:pPr>
              <w:rPr>
                <w:rFonts w:ascii="Calibri" w:hAnsi="Calibri"/>
              </w:rPr>
            </w:pPr>
            <w:r>
              <w:rPr>
                <w:lang w:val="en-AU"/>
              </w:rPr>
              <w:t xml:space="preserve">Develop </w:t>
            </w:r>
            <w:r w:rsidRPr="00545A96">
              <w:rPr>
                <w:lang w:val="en-AU"/>
              </w:rPr>
              <w:t>Guidance on checking that 3</w:t>
            </w:r>
            <w:r w:rsidRPr="00545A96">
              <w:rPr>
                <w:vertAlign w:val="superscript"/>
                <w:lang w:val="en-AU"/>
              </w:rPr>
              <w:t>rd</w:t>
            </w:r>
            <w:r w:rsidRPr="00545A96">
              <w:rPr>
                <w:lang w:val="en-AU"/>
              </w:rPr>
              <w:t xml:space="preserve"> </w:t>
            </w:r>
            <w:r w:rsidR="007B2177">
              <w:rPr>
                <w:lang w:val="en-AU"/>
              </w:rPr>
              <w:t>party AtoN providers are</w:t>
            </w:r>
            <w:r w:rsidRPr="00545A96">
              <w:rPr>
                <w:lang w:val="en-AU"/>
              </w:rPr>
              <w:t xml:space="preserve"> providing what they are obliged to provide– 3</w:t>
            </w:r>
            <w:r w:rsidRPr="00545A96">
              <w:rPr>
                <w:vertAlign w:val="superscript"/>
                <w:lang w:val="en-AU"/>
              </w:rPr>
              <w:t>rd</w:t>
            </w:r>
            <w:r w:rsidRPr="00545A96">
              <w:rPr>
                <w:lang w:val="en-AU"/>
              </w:rPr>
              <w:t xml:space="preserve"> party AtoN provider quality control. (</w:t>
            </w:r>
            <w:r>
              <w:rPr>
                <w:lang w:val="en-AU"/>
              </w:rPr>
              <w:t xml:space="preserve">Joint </w:t>
            </w:r>
            <w:r w:rsidRPr="00545A96">
              <w:rPr>
                <w:lang w:val="en-AU"/>
              </w:rPr>
              <w:t xml:space="preserve"> ARM cooperation)</w:t>
            </w:r>
          </w:p>
        </w:tc>
        <w:tc>
          <w:tcPr>
            <w:tcW w:w="699" w:type="dxa"/>
            <w:shd w:val="clear" w:color="auto" w:fill="DAEEF3" w:themeFill="accent5" w:themeFillTint="33"/>
          </w:tcPr>
          <w:p w:rsidR="008A7E1B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DAEEF3" w:themeFill="accent5" w:themeFillTint="33"/>
          </w:tcPr>
          <w:p w:rsidR="008A7E1B" w:rsidRDefault="008A7E1B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297C1E" w:rsidTr="003C39EB">
        <w:tc>
          <w:tcPr>
            <w:tcW w:w="2592" w:type="dxa"/>
            <w:shd w:val="clear" w:color="auto" w:fill="FFFF00"/>
          </w:tcPr>
          <w:p w:rsidR="00297C1E" w:rsidRDefault="00297C1E" w:rsidP="005B3366">
            <w:pPr>
              <w:pStyle w:val="Textedesaisie"/>
              <w:rPr>
                <w:rFonts w:ascii="Calibri" w:hAnsi="Calibri"/>
              </w:rPr>
            </w:pPr>
            <w:r w:rsidRPr="00297C1E">
              <w:rPr>
                <w:b/>
              </w:rPr>
              <w:t>Digital Communications Technologies</w:t>
            </w:r>
          </w:p>
        </w:tc>
        <w:tc>
          <w:tcPr>
            <w:tcW w:w="8186" w:type="dxa"/>
            <w:shd w:val="clear" w:color="auto" w:fill="FFFF00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FFFF00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2471" w:type="dxa"/>
            <w:shd w:val="clear" w:color="auto" w:fill="FFFF00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297C1E" w:rsidTr="007B2177">
        <w:tc>
          <w:tcPr>
            <w:tcW w:w="2592" w:type="dxa"/>
            <w:shd w:val="clear" w:color="auto" w:fill="FDE9D9" w:themeFill="accent6" w:themeFillTint="33"/>
          </w:tcPr>
          <w:p w:rsidR="00297C1E" w:rsidRDefault="00297C1E" w:rsidP="00CC6785">
            <w:pPr>
              <w:pStyle w:val="Textedesaisie"/>
              <w:jc w:val="left"/>
              <w:rPr>
                <w:rFonts w:ascii="Calibri" w:hAnsi="Calibri"/>
              </w:rPr>
            </w:pPr>
            <w:r>
              <w:t>Harmonised maritime connectivity (Maritime Internet of Things, intelligent sensors, AtoN monitoring)</w:t>
            </w:r>
          </w:p>
        </w:tc>
        <w:tc>
          <w:tcPr>
            <w:tcW w:w="8186" w:type="dxa"/>
            <w:shd w:val="clear" w:color="auto" w:fill="FDE9D9" w:themeFill="accent6" w:themeFillTint="33"/>
          </w:tcPr>
          <w:p w:rsidR="00297C1E" w:rsidRPr="00297C1E" w:rsidRDefault="00297C1E" w:rsidP="00297C1E">
            <w:pPr>
              <w:rPr>
                <w:lang w:val="en-AU"/>
              </w:rPr>
            </w:pPr>
            <w:r>
              <w:rPr>
                <w:lang w:val="en-AU"/>
              </w:rPr>
              <w:t>Review telemetry</w:t>
            </w:r>
            <w:r w:rsidRPr="00297C1E">
              <w:rPr>
                <w:lang w:val="en-AU"/>
              </w:rPr>
              <w:t xml:space="preserve"> Guideline 1008.</w:t>
            </w:r>
          </w:p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699" w:type="dxa"/>
            <w:shd w:val="clear" w:color="auto" w:fill="FDE9D9" w:themeFill="accent6" w:themeFillTint="33"/>
          </w:tcPr>
          <w:p w:rsidR="00297C1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297C1E" w:rsidTr="007B2177">
        <w:tc>
          <w:tcPr>
            <w:tcW w:w="2592" w:type="dxa"/>
            <w:shd w:val="clear" w:color="auto" w:fill="FDE9D9" w:themeFill="accent6" w:themeFillTint="33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297C1E" w:rsidRDefault="00CC6785" w:rsidP="00CC6785">
            <w:pPr>
              <w:rPr>
                <w:rFonts w:ascii="Calibri" w:hAnsi="Calibri"/>
              </w:rPr>
            </w:pPr>
            <w:r>
              <w:rPr>
                <w:lang w:val="en-AU"/>
              </w:rPr>
              <w:t>Develop guidance on h</w:t>
            </w:r>
            <w:r w:rsidRPr="00CC6785">
              <w:rPr>
                <w:lang w:val="en-AU"/>
              </w:rPr>
              <w:t>ow to package monitoring information on AtoN status such that it can be fed into the MCP</w:t>
            </w:r>
            <w:r w:rsidR="007B2177">
              <w:rPr>
                <w:lang w:val="en-AU"/>
              </w:rPr>
              <w:t xml:space="preserve"> (Maritime Connectivity Platform)</w:t>
            </w:r>
            <w:r w:rsidRPr="00CC6785">
              <w:rPr>
                <w:lang w:val="en-AU"/>
              </w:rPr>
              <w:t xml:space="preserve"> as an MSP.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297C1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297C1E" w:rsidTr="007B2177">
        <w:tc>
          <w:tcPr>
            <w:tcW w:w="2592" w:type="dxa"/>
            <w:shd w:val="clear" w:color="auto" w:fill="FDE9D9" w:themeFill="accent6" w:themeFillTint="33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297C1E" w:rsidRDefault="007C3CA3" w:rsidP="00C402B8">
            <w:pPr>
              <w:rPr>
                <w:rFonts w:ascii="Calibri" w:hAnsi="Calibri"/>
              </w:rPr>
            </w:pPr>
            <w:r w:rsidRPr="007C3CA3">
              <w:rPr>
                <w:lang w:val="en-AU"/>
              </w:rPr>
              <w:t>Cyber security</w:t>
            </w:r>
            <w:r>
              <w:rPr>
                <w:lang w:val="en-AU"/>
              </w:rPr>
              <w:t xml:space="preserve"> for AtoN operations.</w:t>
            </w:r>
            <w:r w:rsidRPr="007C3CA3">
              <w:rPr>
                <w:lang w:val="en-AU"/>
              </w:rPr>
              <w:t xml:space="preserve"> (</w:t>
            </w:r>
            <w:r>
              <w:rPr>
                <w:lang w:val="en-AU"/>
              </w:rPr>
              <w:t xml:space="preserve">Joint </w:t>
            </w:r>
            <w:r w:rsidRPr="007C3CA3">
              <w:rPr>
                <w:lang w:val="en-AU"/>
              </w:rPr>
              <w:t>ENAV</w:t>
            </w:r>
            <w:r>
              <w:rPr>
                <w:lang w:val="en-AU"/>
              </w:rPr>
              <w:t xml:space="preserve"> </w:t>
            </w:r>
            <w:proofErr w:type="spellStart"/>
            <w:r>
              <w:rPr>
                <w:lang w:val="en-AU"/>
              </w:rPr>
              <w:t>co operation</w:t>
            </w:r>
            <w:proofErr w:type="spellEnd"/>
            <w:r w:rsidRPr="007C3CA3">
              <w:rPr>
                <w:lang w:val="en-AU"/>
              </w:rPr>
              <w:t>).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297C1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  <w:tr w:rsidR="00297C1E" w:rsidTr="007B2177">
        <w:tc>
          <w:tcPr>
            <w:tcW w:w="2592" w:type="dxa"/>
            <w:shd w:val="clear" w:color="auto" w:fill="FDE9D9" w:themeFill="accent6" w:themeFillTint="33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  <w:tc>
          <w:tcPr>
            <w:tcW w:w="8186" w:type="dxa"/>
            <w:shd w:val="clear" w:color="auto" w:fill="FDE9D9" w:themeFill="accent6" w:themeFillTint="33"/>
          </w:tcPr>
          <w:p w:rsidR="00297C1E" w:rsidRDefault="002D60C7" w:rsidP="00C402B8">
            <w:pPr>
              <w:rPr>
                <w:rFonts w:ascii="Calibri" w:hAnsi="Calibri"/>
              </w:rPr>
            </w:pPr>
            <w:r>
              <w:rPr>
                <w:lang w:val="en-AU"/>
              </w:rPr>
              <w:t xml:space="preserve">Deliver </w:t>
            </w:r>
            <w:r w:rsidRPr="002D60C7">
              <w:rPr>
                <w:lang w:val="en-AU"/>
              </w:rPr>
              <w:t>WORKSHOP</w:t>
            </w:r>
            <w:r>
              <w:rPr>
                <w:lang w:val="en-AU"/>
              </w:rPr>
              <w:t xml:space="preserve"> on</w:t>
            </w:r>
            <w:r w:rsidRPr="002D60C7">
              <w:rPr>
                <w:lang w:val="en-AU"/>
              </w:rPr>
              <w:t xml:space="preserve"> engineering support for e-navigation services, </w:t>
            </w:r>
            <w:r w:rsidR="00C402B8">
              <w:rPr>
                <w:lang w:val="en-AU"/>
              </w:rPr>
              <w:t xml:space="preserve">including </w:t>
            </w:r>
            <w:r w:rsidRPr="002D60C7">
              <w:rPr>
                <w:lang w:val="en-AU"/>
              </w:rPr>
              <w:t>hot</w:t>
            </w:r>
            <w:r w:rsidR="00C402B8">
              <w:rPr>
                <w:lang w:val="en-AU"/>
              </w:rPr>
              <w:t>/cold climates &amp; radio propagation.</w:t>
            </w:r>
          </w:p>
        </w:tc>
        <w:tc>
          <w:tcPr>
            <w:tcW w:w="699" w:type="dxa"/>
            <w:shd w:val="clear" w:color="auto" w:fill="FDE9D9" w:themeFill="accent6" w:themeFillTint="33"/>
          </w:tcPr>
          <w:p w:rsidR="00297C1E" w:rsidRDefault="003E6282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471" w:type="dxa"/>
            <w:shd w:val="clear" w:color="auto" w:fill="FDE9D9" w:themeFill="accent6" w:themeFillTint="33"/>
          </w:tcPr>
          <w:p w:rsidR="00297C1E" w:rsidRDefault="00297C1E" w:rsidP="00453FDE">
            <w:pPr>
              <w:tabs>
                <w:tab w:val="left" w:pos="2475"/>
              </w:tabs>
              <w:rPr>
                <w:rFonts w:ascii="Calibri" w:hAnsi="Calibri"/>
              </w:rPr>
            </w:pPr>
          </w:p>
        </w:tc>
      </w:tr>
    </w:tbl>
    <w:p w:rsidR="00453FDE" w:rsidRPr="009C323B" w:rsidRDefault="00453FDE" w:rsidP="00453FDE">
      <w:pPr>
        <w:tabs>
          <w:tab w:val="left" w:pos="2475"/>
        </w:tabs>
        <w:rPr>
          <w:rFonts w:ascii="Calibri" w:hAnsi="Calibri"/>
        </w:rPr>
      </w:pPr>
    </w:p>
    <w:p w:rsidR="00E039B8" w:rsidRDefault="00E039B8">
      <w:pPr>
        <w:rPr>
          <w:rFonts w:ascii="Calibri-Bold" w:hAnsi="Calibri-Bold" w:cs="Calibri-Bold"/>
          <w:b/>
          <w:bCs/>
          <w:color w:val="00558E"/>
          <w:szCs w:val="24"/>
          <w:lang w:val="en-GB"/>
        </w:rPr>
      </w:pPr>
      <w:r>
        <w:rPr>
          <w:rFonts w:ascii="Calibri-Bold" w:hAnsi="Calibri-Bold" w:cs="Calibri-Bold"/>
          <w:b/>
          <w:bCs/>
          <w:color w:val="00558E"/>
          <w:szCs w:val="24"/>
          <w:lang w:val="en-GB"/>
        </w:rPr>
        <w:br w:type="page"/>
      </w:r>
      <w:r w:rsidR="00FC34D6">
        <w:rPr>
          <w:noProof/>
          <w:lang w:eastAsia="en-IE"/>
        </w:rPr>
        <w:lastRenderedPageBreak/>
        <w:drawing>
          <wp:inline distT="0" distB="0" distL="0" distR="0" wp14:anchorId="3A799223" wp14:editId="64E82746">
            <wp:extent cx="8391525" cy="5876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9152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4D6" w:rsidRDefault="00FC34D6" w:rsidP="00AC325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558E"/>
          <w:szCs w:val="24"/>
          <w:lang w:val="en-GB"/>
        </w:rPr>
      </w:pPr>
    </w:p>
    <w:p w:rsidR="00FC34D6" w:rsidRDefault="00FC34D6" w:rsidP="00AC325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558E"/>
          <w:szCs w:val="24"/>
          <w:lang w:val="en-GB"/>
        </w:rPr>
      </w:pP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558E"/>
          <w:szCs w:val="24"/>
          <w:lang w:val="en-GB"/>
        </w:rPr>
      </w:pPr>
      <w:r w:rsidRPr="00AC3254">
        <w:rPr>
          <w:rFonts w:ascii="Calibri-Bold" w:hAnsi="Calibri-Bold" w:cs="Calibri-Bold"/>
          <w:b/>
          <w:bCs/>
          <w:color w:val="00558E"/>
          <w:szCs w:val="24"/>
          <w:lang w:val="en-GB"/>
        </w:rPr>
        <w:t>STRATEGIC VISION FOR 2018</w:t>
      </w:r>
      <w:r w:rsidRPr="00AC3254">
        <w:rPr>
          <w:rFonts w:ascii="Cambria Math" w:hAnsi="Cambria Math" w:cs="Cambria Math"/>
          <w:b/>
          <w:bCs/>
          <w:color w:val="00558E"/>
          <w:szCs w:val="24"/>
          <w:lang w:val="en-GB"/>
        </w:rPr>
        <w:t>‐</w:t>
      </w:r>
      <w:r w:rsidRPr="00AC3254">
        <w:rPr>
          <w:rFonts w:ascii="Calibri-Bold" w:hAnsi="Calibri-Bold" w:cs="Calibri-Bold"/>
          <w:b/>
          <w:bCs/>
          <w:color w:val="00558E"/>
          <w:szCs w:val="24"/>
          <w:lang w:val="en-GB"/>
        </w:rPr>
        <w:t>2026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lang w:val="en-GB"/>
        </w:rPr>
      </w:pPr>
      <w:r w:rsidRPr="00AC3254">
        <w:rPr>
          <w:rFonts w:ascii="Calibri" w:hAnsi="Calibri" w:cs="Calibri"/>
          <w:color w:val="000000"/>
          <w:sz w:val="20"/>
          <w:lang w:val="en-GB"/>
        </w:rPr>
        <w:t>IALA’s Strategic Vision for the period from 2018 to 2026 is the following.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Cs w:val="24"/>
          <w:lang w:val="en-GB"/>
        </w:rPr>
      </w:pPr>
      <w:r w:rsidRPr="00AC3254">
        <w:rPr>
          <w:rFonts w:ascii="Calibri-Bold" w:hAnsi="Calibri-Bold" w:cs="Calibri-Bold"/>
          <w:b/>
          <w:bCs/>
          <w:color w:val="000000"/>
          <w:szCs w:val="24"/>
          <w:lang w:val="en-GB"/>
        </w:rPr>
        <w:t>Purpose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The aim of IALA is to foster the safe, economic and efficient movement of vessels, through improvement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and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 xml:space="preserve"> harmonisation of aids to navigation worldwide and other appropriate means, for the benefit of the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maritime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 xml:space="preserve"> community and the protection of the environment.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Cs w:val="24"/>
          <w:lang w:val="en-GB"/>
        </w:rPr>
      </w:pPr>
      <w:r w:rsidRPr="00AC3254">
        <w:rPr>
          <w:rFonts w:ascii="Calibri-Bold" w:hAnsi="Calibri-Bold" w:cs="Calibri-Bold"/>
          <w:b/>
          <w:bCs/>
          <w:color w:val="000000"/>
          <w:szCs w:val="24"/>
          <w:lang w:val="en-GB"/>
        </w:rPr>
        <w:t>Motto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"Successful voyages, sustainable planet."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Cs w:val="24"/>
          <w:lang w:val="en-GB"/>
        </w:rPr>
      </w:pPr>
      <w:r w:rsidRPr="00AC3254">
        <w:rPr>
          <w:rFonts w:ascii="Calibri-Bold" w:hAnsi="Calibri-Bold" w:cs="Calibri-Bold"/>
          <w:b/>
          <w:bCs/>
          <w:color w:val="000000"/>
          <w:szCs w:val="24"/>
          <w:lang w:val="en-GB"/>
        </w:rPr>
        <w:t>Goals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G1 – Marine Aids to Navigation are harmonised through international cooperation and the provision of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standards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>.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G2 ‐ All coastal states have contributed to an efficient global network of Marine Aids to Navigation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through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 xml:space="preserve"> capacity building and the sharing of expertise.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Cs w:val="24"/>
          <w:lang w:val="en-GB"/>
        </w:rPr>
      </w:pPr>
      <w:r w:rsidRPr="00AC3254">
        <w:rPr>
          <w:rFonts w:ascii="Calibri-Bold" w:hAnsi="Calibri-Bold" w:cs="Calibri-Bold"/>
          <w:b/>
          <w:bCs/>
          <w:color w:val="000000"/>
          <w:szCs w:val="24"/>
          <w:lang w:val="en-GB"/>
        </w:rPr>
        <w:t>Strategies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S1 ‐ Develop Standards suitable for direct citation by States, in areas deemed important by the General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Assembly, and the related Recommendations and Guidelines.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S2 ‐ Position IALA as the source of standards, knowledge, and expertise that will enable States to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provide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 xml:space="preserve"> Marine Aids to Navigation, in accordance with relevant international obligations and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recommendations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>.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S3 ‐ Coordinate the further development of Marine Aids to Navigation, taking into account new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technologies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 xml:space="preserve"> and sustainability.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S4 ‐ Continue to develop capacity building activities to improve the global provision of Marine Aids to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Navigation.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S5 ‐ Harmonise the information structure, Maritime Service Portfolios, and communications for e‐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Navigation by creating standards, and by cooperation with other international organisations, to achieve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worldwide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 xml:space="preserve"> interoperability of shore and ship systems, including IMO sustainability goals for a maritime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transport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 xml:space="preserve"> system.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S6 ‐ Improve and harmonise the delivery of VTS globally and in a manner consistent with international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conventions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>, national legislation and public expectations, , to ensure the safety and efficiency of vessel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traffic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 xml:space="preserve"> and to protect the environment.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t>S7 ‐ Work towards the transformation of IALA into an IGO, to enable the organisation to better fulfil its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objectives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>.</w:t>
      </w:r>
    </w:p>
    <w:p w:rsidR="00AC3254" w:rsidRPr="00AC3254" w:rsidRDefault="00AC3254" w:rsidP="00AC3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Cs w:val="24"/>
          <w:lang w:val="en-GB"/>
        </w:rPr>
      </w:pPr>
      <w:r w:rsidRPr="00AC3254">
        <w:rPr>
          <w:rFonts w:ascii="Calibri" w:hAnsi="Calibri" w:cs="Calibri"/>
          <w:color w:val="000000"/>
          <w:szCs w:val="24"/>
          <w:lang w:val="en-GB"/>
        </w:rPr>
        <w:lastRenderedPageBreak/>
        <w:t>S8 ‐ Ensure that the resources and capabilities of the Secretariat are sufficient to enable IALA and its</w:t>
      </w:r>
    </w:p>
    <w:p w:rsidR="007B2177" w:rsidRDefault="00AC3254" w:rsidP="00AC3254">
      <w:pPr>
        <w:rPr>
          <w:rFonts w:ascii="Calibri" w:hAnsi="Calibri" w:cs="Calibri"/>
          <w:color w:val="000000"/>
          <w:szCs w:val="24"/>
          <w:lang w:val="en-GB"/>
        </w:rPr>
      </w:pPr>
      <w:proofErr w:type="gramStart"/>
      <w:r w:rsidRPr="00AC3254">
        <w:rPr>
          <w:rFonts w:ascii="Calibri" w:hAnsi="Calibri" w:cs="Calibri"/>
          <w:color w:val="000000"/>
          <w:szCs w:val="24"/>
          <w:lang w:val="en-GB"/>
        </w:rPr>
        <w:t>committees</w:t>
      </w:r>
      <w:proofErr w:type="gramEnd"/>
      <w:r w:rsidRPr="00AC3254">
        <w:rPr>
          <w:rFonts w:ascii="Calibri" w:hAnsi="Calibri" w:cs="Calibri"/>
          <w:color w:val="000000"/>
          <w:szCs w:val="24"/>
          <w:lang w:val="en-GB"/>
        </w:rPr>
        <w:t xml:space="preserve"> and organs to reach its goals.</w:t>
      </w:r>
    </w:p>
    <w:p w:rsidR="00FC34D6" w:rsidRDefault="00FC34D6" w:rsidP="00AC3254">
      <w:pPr>
        <w:rPr>
          <w:rFonts w:ascii="Calibri" w:hAnsi="Calibri" w:cs="Calibri"/>
          <w:color w:val="000000"/>
          <w:szCs w:val="24"/>
          <w:lang w:val="en-GB"/>
        </w:rPr>
      </w:pPr>
    </w:p>
    <w:p w:rsidR="00FC34D6" w:rsidRDefault="00FC34D6" w:rsidP="00AC3254">
      <w:pPr>
        <w:rPr>
          <w:rFonts w:ascii="Calibri" w:hAnsi="Calibri" w:cs="Calibri"/>
          <w:color w:val="000000"/>
          <w:szCs w:val="24"/>
          <w:lang w:val="en-GB"/>
        </w:rPr>
      </w:pPr>
    </w:p>
    <w:p w:rsidR="00FC34D6" w:rsidRPr="00AC3254" w:rsidRDefault="00FC34D6" w:rsidP="00AC3254">
      <w:pPr>
        <w:rPr>
          <w:rFonts w:ascii="Calibri" w:hAnsi="Calibri"/>
        </w:rPr>
      </w:pPr>
    </w:p>
    <w:sectPr w:rsidR="00FC34D6" w:rsidRPr="00AC3254" w:rsidSect="00E039B8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D03" w:rsidRDefault="00271D03" w:rsidP="007A7313">
      <w:pPr>
        <w:spacing w:after="0" w:line="240" w:lineRule="auto"/>
      </w:pPr>
      <w:r>
        <w:separator/>
      </w:r>
    </w:p>
  </w:endnote>
  <w:endnote w:type="continuationSeparator" w:id="0">
    <w:p w:rsidR="00271D03" w:rsidRDefault="00271D03" w:rsidP="007A7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377" w:rsidRPr="009C323B" w:rsidRDefault="00F52377">
    <w:pPr>
      <w:pStyle w:val="Footer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IALA </w:t>
    </w:r>
    <w:r w:rsidRPr="009C323B">
      <w:rPr>
        <w:rFonts w:ascii="Calibri" w:hAnsi="Calibri"/>
        <w:sz w:val="18"/>
        <w:szCs w:val="18"/>
      </w:rPr>
      <w:t xml:space="preserve">ENG Committee </w:t>
    </w:r>
    <w:proofErr w:type="spellStart"/>
    <w:r w:rsidRPr="009C323B">
      <w:rPr>
        <w:rFonts w:ascii="Calibri" w:hAnsi="Calibri"/>
        <w:sz w:val="18"/>
        <w:szCs w:val="18"/>
      </w:rPr>
      <w:t>workplan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D03" w:rsidRDefault="00271D03" w:rsidP="007A7313">
      <w:pPr>
        <w:spacing w:after="0" w:line="240" w:lineRule="auto"/>
      </w:pPr>
      <w:r>
        <w:separator/>
      </w:r>
    </w:p>
  </w:footnote>
  <w:footnote w:type="continuationSeparator" w:id="0">
    <w:p w:rsidR="00271D03" w:rsidRDefault="00271D03" w:rsidP="007A7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377" w:rsidRDefault="00521509" w:rsidP="007A7313">
    <w:pPr>
      <w:pStyle w:val="Header"/>
      <w:jc w:val="right"/>
      <w:rPr>
        <w:lang w:val="en-US"/>
      </w:rPr>
    </w:pPr>
    <w:r>
      <w:rPr>
        <w:noProof/>
        <w:lang w:eastAsia="en-IE"/>
      </w:rPr>
      <w:drawing>
        <wp:inline distT="0" distB="0" distL="0" distR="0">
          <wp:extent cx="750570" cy="730250"/>
          <wp:effectExtent l="0" t="0" r="0" b="0"/>
          <wp:docPr id="2" name="Picture 2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0B58AFFA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1DAC762A"/>
    <w:multiLevelType w:val="hybridMultilevel"/>
    <w:tmpl w:val="15187C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7BF10DA0"/>
    <w:multiLevelType w:val="hybridMultilevel"/>
    <w:tmpl w:val="847E4D44"/>
    <w:lvl w:ilvl="0" w:tplc="99CCB1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0B"/>
    <w:rsid w:val="00013E9E"/>
    <w:rsid w:val="00025337"/>
    <w:rsid w:val="0005611D"/>
    <w:rsid w:val="00056E5A"/>
    <w:rsid w:val="000635C6"/>
    <w:rsid w:val="00063A2A"/>
    <w:rsid w:val="0006782C"/>
    <w:rsid w:val="0007167C"/>
    <w:rsid w:val="00080296"/>
    <w:rsid w:val="000A4143"/>
    <w:rsid w:val="000D5930"/>
    <w:rsid w:val="000E373E"/>
    <w:rsid w:val="000F04C5"/>
    <w:rsid w:val="00101C17"/>
    <w:rsid w:val="00116766"/>
    <w:rsid w:val="0013086D"/>
    <w:rsid w:val="001334F7"/>
    <w:rsid w:val="001343C8"/>
    <w:rsid w:val="00137231"/>
    <w:rsid w:val="00146593"/>
    <w:rsid w:val="00152956"/>
    <w:rsid w:val="00163917"/>
    <w:rsid w:val="00164B3A"/>
    <w:rsid w:val="00173C8B"/>
    <w:rsid w:val="001815DC"/>
    <w:rsid w:val="00181617"/>
    <w:rsid w:val="001A304C"/>
    <w:rsid w:val="001B5A3F"/>
    <w:rsid w:val="001D5D9C"/>
    <w:rsid w:val="001E2D92"/>
    <w:rsid w:val="001F115B"/>
    <w:rsid w:val="00214602"/>
    <w:rsid w:val="002236B8"/>
    <w:rsid w:val="00227AA0"/>
    <w:rsid w:val="00251645"/>
    <w:rsid w:val="002530AA"/>
    <w:rsid w:val="00271D03"/>
    <w:rsid w:val="0027690B"/>
    <w:rsid w:val="00283CA6"/>
    <w:rsid w:val="002847C8"/>
    <w:rsid w:val="00297C1E"/>
    <w:rsid w:val="002A4ED3"/>
    <w:rsid w:val="002B7A6E"/>
    <w:rsid w:val="002C4C3D"/>
    <w:rsid w:val="002D15B8"/>
    <w:rsid w:val="002D2B55"/>
    <w:rsid w:val="002D60C7"/>
    <w:rsid w:val="002F53C7"/>
    <w:rsid w:val="002F5828"/>
    <w:rsid w:val="00312075"/>
    <w:rsid w:val="00330C3E"/>
    <w:rsid w:val="0033180E"/>
    <w:rsid w:val="003428A6"/>
    <w:rsid w:val="00343FCE"/>
    <w:rsid w:val="003742B0"/>
    <w:rsid w:val="003914C3"/>
    <w:rsid w:val="0039281D"/>
    <w:rsid w:val="003A2C14"/>
    <w:rsid w:val="003B0CB5"/>
    <w:rsid w:val="003C39EB"/>
    <w:rsid w:val="003C4C06"/>
    <w:rsid w:val="003C5BB0"/>
    <w:rsid w:val="003D37F1"/>
    <w:rsid w:val="003E0549"/>
    <w:rsid w:val="003E6282"/>
    <w:rsid w:val="003E72C8"/>
    <w:rsid w:val="003E7AF7"/>
    <w:rsid w:val="003F0715"/>
    <w:rsid w:val="003F3211"/>
    <w:rsid w:val="00400955"/>
    <w:rsid w:val="00414485"/>
    <w:rsid w:val="00425EB3"/>
    <w:rsid w:val="0043434C"/>
    <w:rsid w:val="004515DA"/>
    <w:rsid w:val="00453FDE"/>
    <w:rsid w:val="004668D5"/>
    <w:rsid w:val="004739E9"/>
    <w:rsid w:val="0049054E"/>
    <w:rsid w:val="00490603"/>
    <w:rsid w:val="004D69B9"/>
    <w:rsid w:val="004D7966"/>
    <w:rsid w:val="004E268B"/>
    <w:rsid w:val="004F5AA7"/>
    <w:rsid w:val="004F724F"/>
    <w:rsid w:val="00500FD6"/>
    <w:rsid w:val="00511C4C"/>
    <w:rsid w:val="00521509"/>
    <w:rsid w:val="00545A96"/>
    <w:rsid w:val="0054630B"/>
    <w:rsid w:val="005A35AA"/>
    <w:rsid w:val="005B3366"/>
    <w:rsid w:val="005B5999"/>
    <w:rsid w:val="005B7414"/>
    <w:rsid w:val="005D668A"/>
    <w:rsid w:val="005E2DAE"/>
    <w:rsid w:val="005E5DD7"/>
    <w:rsid w:val="005F4F35"/>
    <w:rsid w:val="00607099"/>
    <w:rsid w:val="006154CB"/>
    <w:rsid w:val="00623D9A"/>
    <w:rsid w:val="00626ED2"/>
    <w:rsid w:val="00647799"/>
    <w:rsid w:val="00663BAC"/>
    <w:rsid w:val="00683A93"/>
    <w:rsid w:val="006847F8"/>
    <w:rsid w:val="00690156"/>
    <w:rsid w:val="0069692D"/>
    <w:rsid w:val="006C2C7D"/>
    <w:rsid w:val="006E6F74"/>
    <w:rsid w:val="007332CF"/>
    <w:rsid w:val="00742378"/>
    <w:rsid w:val="007511BF"/>
    <w:rsid w:val="007A550D"/>
    <w:rsid w:val="007A7313"/>
    <w:rsid w:val="007B2177"/>
    <w:rsid w:val="007B3D32"/>
    <w:rsid w:val="007C2832"/>
    <w:rsid w:val="007C3CA3"/>
    <w:rsid w:val="007D2C22"/>
    <w:rsid w:val="007D7153"/>
    <w:rsid w:val="007F32F6"/>
    <w:rsid w:val="008109A8"/>
    <w:rsid w:val="00817D83"/>
    <w:rsid w:val="00822DBA"/>
    <w:rsid w:val="008269C7"/>
    <w:rsid w:val="00855070"/>
    <w:rsid w:val="00857CBC"/>
    <w:rsid w:val="0086078C"/>
    <w:rsid w:val="00867213"/>
    <w:rsid w:val="0087539D"/>
    <w:rsid w:val="008779D4"/>
    <w:rsid w:val="008846DE"/>
    <w:rsid w:val="008A1650"/>
    <w:rsid w:val="008A6D4A"/>
    <w:rsid w:val="008A7E1B"/>
    <w:rsid w:val="008C5E53"/>
    <w:rsid w:val="008E288B"/>
    <w:rsid w:val="008F4FA5"/>
    <w:rsid w:val="008F51F2"/>
    <w:rsid w:val="009001D9"/>
    <w:rsid w:val="00914229"/>
    <w:rsid w:val="00916538"/>
    <w:rsid w:val="009173BF"/>
    <w:rsid w:val="00917C05"/>
    <w:rsid w:val="00921038"/>
    <w:rsid w:val="0092564D"/>
    <w:rsid w:val="00926FFB"/>
    <w:rsid w:val="0093767C"/>
    <w:rsid w:val="009442A4"/>
    <w:rsid w:val="009444E1"/>
    <w:rsid w:val="009461C0"/>
    <w:rsid w:val="00957ED2"/>
    <w:rsid w:val="00963C2C"/>
    <w:rsid w:val="00971BBA"/>
    <w:rsid w:val="009A795F"/>
    <w:rsid w:val="009B32D8"/>
    <w:rsid w:val="009C323B"/>
    <w:rsid w:val="009E55D6"/>
    <w:rsid w:val="009E5BDE"/>
    <w:rsid w:val="00A11020"/>
    <w:rsid w:val="00A146C1"/>
    <w:rsid w:val="00A148F9"/>
    <w:rsid w:val="00A21A37"/>
    <w:rsid w:val="00A41CA7"/>
    <w:rsid w:val="00A5305E"/>
    <w:rsid w:val="00A85999"/>
    <w:rsid w:val="00A8720B"/>
    <w:rsid w:val="00AA0D7A"/>
    <w:rsid w:val="00AA3902"/>
    <w:rsid w:val="00AA7F87"/>
    <w:rsid w:val="00AB5BC4"/>
    <w:rsid w:val="00AC0FE8"/>
    <w:rsid w:val="00AC3254"/>
    <w:rsid w:val="00AC5185"/>
    <w:rsid w:val="00AD38B4"/>
    <w:rsid w:val="00AE72CB"/>
    <w:rsid w:val="00B25658"/>
    <w:rsid w:val="00B30262"/>
    <w:rsid w:val="00B52E9D"/>
    <w:rsid w:val="00B60B84"/>
    <w:rsid w:val="00B6549E"/>
    <w:rsid w:val="00B6554F"/>
    <w:rsid w:val="00B73CE6"/>
    <w:rsid w:val="00B92E0F"/>
    <w:rsid w:val="00BA266B"/>
    <w:rsid w:val="00BB7888"/>
    <w:rsid w:val="00BC30F2"/>
    <w:rsid w:val="00BD0887"/>
    <w:rsid w:val="00BD2BC8"/>
    <w:rsid w:val="00BD36E0"/>
    <w:rsid w:val="00BD7B59"/>
    <w:rsid w:val="00BE3E12"/>
    <w:rsid w:val="00C00D46"/>
    <w:rsid w:val="00C03548"/>
    <w:rsid w:val="00C13738"/>
    <w:rsid w:val="00C265E6"/>
    <w:rsid w:val="00C34F85"/>
    <w:rsid w:val="00C40123"/>
    <w:rsid w:val="00C402B8"/>
    <w:rsid w:val="00C40597"/>
    <w:rsid w:val="00C42D74"/>
    <w:rsid w:val="00C55FA8"/>
    <w:rsid w:val="00C71532"/>
    <w:rsid w:val="00C73ADD"/>
    <w:rsid w:val="00C9460B"/>
    <w:rsid w:val="00CA0EDD"/>
    <w:rsid w:val="00CA3BCE"/>
    <w:rsid w:val="00CA7263"/>
    <w:rsid w:val="00CB7FD6"/>
    <w:rsid w:val="00CC4377"/>
    <w:rsid w:val="00CC6785"/>
    <w:rsid w:val="00CE67C9"/>
    <w:rsid w:val="00CE7F0C"/>
    <w:rsid w:val="00CF0BF3"/>
    <w:rsid w:val="00CF541B"/>
    <w:rsid w:val="00D17E5E"/>
    <w:rsid w:val="00D211B3"/>
    <w:rsid w:val="00D26497"/>
    <w:rsid w:val="00D34EA4"/>
    <w:rsid w:val="00D56613"/>
    <w:rsid w:val="00D623EB"/>
    <w:rsid w:val="00D646E5"/>
    <w:rsid w:val="00D740EF"/>
    <w:rsid w:val="00D75FD7"/>
    <w:rsid w:val="00D81A4F"/>
    <w:rsid w:val="00D84AE0"/>
    <w:rsid w:val="00D933B9"/>
    <w:rsid w:val="00DA153C"/>
    <w:rsid w:val="00DB383E"/>
    <w:rsid w:val="00DC367E"/>
    <w:rsid w:val="00DC6D63"/>
    <w:rsid w:val="00DD309B"/>
    <w:rsid w:val="00DD6DAC"/>
    <w:rsid w:val="00DE3E96"/>
    <w:rsid w:val="00E00972"/>
    <w:rsid w:val="00E039B8"/>
    <w:rsid w:val="00E24632"/>
    <w:rsid w:val="00E570B4"/>
    <w:rsid w:val="00E60E1A"/>
    <w:rsid w:val="00E636B2"/>
    <w:rsid w:val="00E722AB"/>
    <w:rsid w:val="00E7519B"/>
    <w:rsid w:val="00E85BB6"/>
    <w:rsid w:val="00E90106"/>
    <w:rsid w:val="00EA5936"/>
    <w:rsid w:val="00EB0DA9"/>
    <w:rsid w:val="00EB3DC1"/>
    <w:rsid w:val="00EC5A75"/>
    <w:rsid w:val="00ED2583"/>
    <w:rsid w:val="00ED2783"/>
    <w:rsid w:val="00EF22A7"/>
    <w:rsid w:val="00F04F11"/>
    <w:rsid w:val="00F12290"/>
    <w:rsid w:val="00F13102"/>
    <w:rsid w:val="00F25325"/>
    <w:rsid w:val="00F446CC"/>
    <w:rsid w:val="00F52377"/>
    <w:rsid w:val="00F54214"/>
    <w:rsid w:val="00F70330"/>
    <w:rsid w:val="00F75271"/>
    <w:rsid w:val="00F76E15"/>
    <w:rsid w:val="00F846BC"/>
    <w:rsid w:val="00F92194"/>
    <w:rsid w:val="00FA4BBD"/>
    <w:rsid w:val="00FC34D6"/>
    <w:rsid w:val="00FD4B63"/>
    <w:rsid w:val="00FF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614480D-D845-4613-91C4-CA6CA3BF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66B"/>
  </w:style>
  <w:style w:type="paragraph" w:styleId="Heading1">
    <w:name w:val="heading 1"/>
    <w:basedOn w:val="Normal"/>
    <w:next w:val="Normal"/>
    <w:link w:val="Heading1Char"/>
    <w:uiPriority w:val="9"/>
    <w:qFormat/>
    <w:rsid w:val="00B6554F"/>
    <w:pPr>
      <w:keepNext/>
      <w:keepLines/>
      <w:spacing w:before="120"/>
      <w:outlineLvl w:val="0"/>
    </w:pPr>
    <w:rPr>
      <w:rFonts w:asciiTheme="majorHAnsi" w:eastAsiaTheme="majorEastAsia" w:hAnsiTheme="majorHAnsi" w:cstheme="majorBidi"/>
      <w:b/>
      <w:bCs/>
      <w:color w:val="7030A0"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rsid w:val="00521509"/>
    <w:pPr>
      <w:numPr>
        <w:ilvl w:val="4"/>
        <w:numId w:val="4"/>
      </w:numPr>
      <w:tabs>
        <w:tab w:val="clear" w:pos="1008"/>
        <w:tab w:val="left" w:pos="1134"/>
      </w:tabs>
      <w:spacing w:before="120" w:after="60" w:line="240" w:lineRule="auto"/>
      <w:ind w:left="1134" w:hanging="1134"/>
      <w:outlineLvl w:val="4"/>
    </w:pPr>
    <w:rPr>
      <w:rFonts w:ascii="Arial" w:eastAsia="Times New Roman" w:hAnsi="Arial" w:cs="Times New Roman"/>
      <w:bCs/>
      <w:iCs/>
      <w:sz w:val="20"/>
      <w:szCs w:val="26"/>
      <w:lang w:val="en-GB"/>
    </w:rPr>
  </w:style>
  <w:style w:type="paragraph" w:styleId="Heading7">
    <w:name w:val="heading 7"/>
    <w:basedOn w:val="Normal"/>
    <w:next w:val="Normal"/>
    <w:link w:val="Heading7Char"/>
    <w:rsid w:val="00521509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szCs w:val="20"/>
      <w:lang w:val="en-GB"/>
    </w:rPr>
  </w:style>
  <w:style w:type="paragraph" w:styleId="Heading8">
    <w:name w:val="heading 8"/>
    <w:basedOn w:val="Normal"/>
    <w:next w:val="Normal"/>
    <w:link w:val="Heading8Char"/>
    <w:rsid w:val="00521509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iCs/>
      <w:szCs w:val="20"/>
      <w:lang w:val="en-GB"/>
    </w:rPr>
  </w:style>
  <w:style w:type="paragraph" w:styleId="Heading9">
    <w:name w:val="heading 9"/>
    <w:basedOn w:val="Normal"/>
    <w:next w:val="Normal"/>
    <w:link w:val="Heading9Char"/>
    <w:rsid w:val="00521509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59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6554F"/>
    <w:rPr>
      <w:rFonts w:asciiTheme="majorHAnsi" w:eastAsiaTheme="majorEastAsia" w:hAnsiTheme="majorHAnsi" w:cstheme="majorBidi"/>
      <w:b/>
      <w:bCs/>
      <w:color w:val="7030A0"/>
      <w:sz w:val="28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C36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36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36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3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36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650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7A73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A7313"/>
  </w:style>
  <w:style w:type="paragraph" w:styleId="Footer">
    <w:name w:val="footer"/>
    <w:basedOn w:val="Normal"/>
    <w:link w:val="FooterChar"/>
    <w:uiPriority w:val="99"/>
    <w:unhideWhenUsed/>
    <w:rsid w:val="007A73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313"/>
  </w:style>
  <w:style w:type="paragraph" w:styleId="ListParagraph">
    <w:name w:val="List Paragraph"/>
    <w:basedOn w:val="Normal"/>
    <w:uiPriority w:val="34"/>
    <w:qFormat/>
    <w:rsid w:val="0086078C"/>
    <w:pPr>
      <w:spacing w:after="0" w:line="240" w:lineRule="auto"/>
      <w:ind w:left="720"/>
    </w:pPr>
    <w:rPr>
      <w:rFonts w:ascii="Calibri" w:eastAsiaTheme="minorHAnsi" w:hAnsi="Calibri" w:cs="Calibri"/>
      <w:lang w:val="en-US"/>
    </w:rPr>
  </w:style>
  <w:style w:type="paragraph" w:customStyle="1" w:styleId="Textedesaisie">
    <w:name w:val="Texte de saisie"/>
    <w:basedOn w:val="Normal"/>
    <w:rsid w:val="00453FDE"/>
    <w:pPr>
      <w:spacing w:after="0" w:line="216" w:lineRule="atLeast"/>
      <w:jc w:val="both"/>
    </w:pPr>
    <w:rPr>
      <w:rFonts w:eastAsiaTheme="minorHAnsi"/>
      <w:color w:val="000000" w:themeColor="text1"/>
      <w:lang w:val="en-GB"/>
    </w:rPr>
  </w:style>
  <w:style w:type="paragraph" w:styleId="BodyText">
    <w:name w:val="Body Text"/>
    <w:basedOn w:val="Normal"/>
    <w:link w:val="BodyTextChar"/>
    <w:qFormat/>
    <w:rsid w:val="00056E5A"/>
    <w:pPr>
      <w:spacing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056E5A"/>
    <w:rPr>
      <w:rFonts w:ascii="Arial" w:eastAsia="Calibri" w:hAnsi="Arial" w:cs="Calibri"/>
      <w:lang w:val="en-GB" w:eastAsia="en-GB"/>
    </w:rPr>
  </w:style>
  <w:style w:type="character" w:styleId="FootnoteReference">
    <w:name w:val="footnote reference"/>
    <w:semiHidden/>
    <w:rsid w:val="00056E5A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056E5A"/>
    <w:pPr>
      <w:spacing w:after="0" w:line="240" w:lineRule="auto"/>
    </w:pPr>
    <w:rPr>
      <w:rFonts w:ascii="Arial" w:eastAsia="Calibri" w:hAnsi="Arial" w:cs="Calibri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056E5A"/>
    <w:rPr>
      <w:rFonts w:ascii="Arial" w:eastAsia="Calibri" w:hAnsi="Arial" w:cs="Calibri"/>
      <w:sz w:val="20"/>
      <w:szCs w:val="20"/>
      <w:lang w:val="en-GB" w:eastAsia="en-GB"/>
    </w:rPr>
  </w:style>
  <w:style w:type="paragraph" w:styleId="Title">
    <w:name w:val="Title"/>
    <w:basedOn w:val="Normal"/>
    <w:link w:val="TitleChar"/>
    <w:qFormat/>
    <w:rsid w:val="00056E5A"/>
    <w:pPr>
      <w:spacing w:before="120" w:after="240" w:line="240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rsid w:val="00056E5A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521509"/>
    <w:rPr>
      <w:rFonts w:ascii="Arial" w:eastAsia="Times New Roman" w:hAnsi="Arial" w:cs="Times New Roman"/>
      <w:bCs/>
      <w:iCs/>
      <w:sz w:val="20"/>
      <w:szCs w:val="26"/>
      <w:lang w:val="en-GB"/>
    </w:rPr>
  </w:style>
  <w:style w:type="character" w:customStyle="1" w:styleId="Heading7Char">
    <w:name w:val="Heading 7 Char"/>
    <w:basedOn w:val="DefaultParagraphFont"/>
    <w:link w:val="Heading7"/>
    <w:rsid w:val="00521509"/>
    <w:rPr>
      <w:rFonts w:ascii="Arial" w:eastAsia="Times New Roman" w:hAnsi="Arial" w:cs="Times New Roman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521509"/>
    <w:rPr>
      <w:rFonts w:ascii="Arial" w:eastAsia="Times New Roman" w:hAnsi="Arial" w:cs="Times New Roman"/>
      <w:i/>
      <w:iCs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521509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71317C7-7B30-41E8-9A43-757099D3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988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Seamus Doyle</cp:lastModifiedBy>
  <cp:revision>3</cp:revision>
  <cp:lastPrinted>2014-06-11T05:44:00Z</cp:lastPrinted>
  <dcterms:created xsi:type="dcterms:W3CDTF">2017-10-12T09:55:00Z</dcterms:created>
  <dcterms:modified xsi:type="dcterms:W3CDTF">2017-10-13T13:20:00Z</dcterms:modified>
</cp:coreProperties>
</file>